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144A" w14:textId="77777777" w:rsidR="004E7DF2" w:rsidRDefault="004E7DF2" w:rsidP="005C5FAB">
      <w:pPr>
        <w:rPr>
          <w:rFonts w:ascii="Arial" w:hAnsi="Arial" w:cs="Arial"/>
          <w:b/>
          <w:sz w:val="28"/>
          <w:szCs w:val="28"/>
        </w:rPr>
      </w:pPr>
    </w:p>
    <w:p w14:paraId="58486413" w14:textId="77777777" w:rsidR="000B4721" w:rsidRPr="007A0E18" w:rsidRDefault="000B4721">
      <w:pPr>
        <w:jc w:val="center"/>
        <w:rPr>
          <w:rFonts w:ascii="Arial" w:hAnsi="Arial" w:cs="Arial"/>
          <w:b/>
          <w:sz w:val="28"/>
          <w:szCs w:val="28"/>
        </w:rPr>
      </w:pPr>
      <w:r w:rsidRPr="007A0E18">
        <w:rPr>
          <w:rFonts w:ascii="Arial" w:hAnsi="Arial" w:cs="Arial"/>
          <w:b/>
          <w:sz w:val="28"/>
          <w:szCs w:val="28"/>
        </w:rPr>
        <w:t xml:space="preserve">How To Do Business With </w:t>
      </w:r>
    </w:p>
    <w:p w14:paraId="6C341D38" w14:textId="77777777" w:rsidR="000B4721" w:rsidRPr="007A0E18" w:rsidRDefault="00A95D6D">
      <w:pPr>
        <w:jc w:val="center"/>
        <w:rPr>
          <w:rFonts w:ascii="Arial" w:hAnsi="Arial" w:cs="Arial"/>
          <w:b/>
          <w:sz w:val="28"/>
          <w:szCs w:val="28"/>
        </w:rPr>
      </w:pPr>
      <w:r w:rsidRPr="007A0E18">
        <w:rPr>
          <w:rFonts w:ascii="Arial" w:hAnsi="Arial" w:cs="Arial"/>
          <w:b/>
          <w:sz w:val="28"/>
          <w:szCs w:val="28"/>
        </w:rPr>
        <w:t>The Council</w:t>
      </w:r>
    </w:p>
    <w:p w14:paraId="2651D1E6" w14:textId="77777777" w:rsidR="000B4721" w:rsidRPr="007A0E18" w:rsidRDefault="000B4721">
      <w:pPr>
        <w:jc w:val="center"/>
        <w:rPr>
          <w:rFonts w:ascii="Arial" w:hAnsi="Arial" w:cs="Arial"/>
          <w:b/>
          <w:sz w:val="28"/>
          <w:szCs w:val="28"/>
        </w:rPr>
      </w:pPr>
    </w:p>
    <w:p w14:paraId="2BEE3567" w14:textId="77777777" w:rsidR="000B4721" w:rsidRPr="007A0E18" w:rsidRDefault="000B4721">
      <w:pPr>
        <w:pStyle w:val="Heading1"/>
        <w:rPr>
          <w:rFonts w:ascii="Arial" w:hAnsi="Arial" w:cs="Arial"/>
          <w:sz w:val="28"/>
          <w:szCs w:val="28"/>
        </w:rPr>
      </w:pPr>
      <w:r w:rsidRPr="007A0E18">
        <w:rPr>
          <w:rFonts w:ascii="Arial" w:hAnsi="Arial" w:cs="Arial"/>
          <w:b/>
          <w:sz w:val="28"/>
          <w:szCs w:val="28"/>
        </w:rPr>
        <w:t>A Guide for Suppliers</w:t>
      </w:r>
    </w:p>
    <w:p w14:paraId="6C8389E1" w14:textId="77777777" w:rsidR="000B4721" w:rsidRDefault="000B4721">
      <w:pPr>
        <w:rPr>
          <w:rFonts w:ascii="Arial" w:hAnsi="Arial" w:cs="Arial"/>
          <w:b/>
          <w:sz w:val="22"/>
          <w:szCs w:val="22"/>
        </w:rPr>
      </w:pPr>
    </w:p>
    <w:p w14:paraId="0D4D784C" w14:textId="77777777" w:rsidR="00751D6E" w:rsidRDefault="00751D6E">
      <w:pPr>
        <w:rPr>
          <w:rFonts w:ascii="Arial" w:hAnsi="Arial" w:cs="Arial"/>
          <w:b/>
          <w:sz w:val="22"/>
          <w:szCs w:val="22"/>
        </w:rPr>
      </w:pPr>
    </w:p>
    <w:p w14:paraId="700CC350" w14:textId="77777777" w:rsidR="00751D6E" w:rsidRDefault="00751D6E">
      <w:pPr>
        <w:rPr>
          <w:rFonts w:ascii="Arial" w:hAnsi="Arial" w:cs="Arial"/>
          <w:b/>
          <w:sz w:val="28"/>
          <w:szCs w:val="28"/>
        </w:rPr>
      </w:pPr>
      <w:r>
        <w:rPr>
          <w:rFonts w:ascii="Arial" w:hAnsi="Arial" w:cs="Arial"/>
          <w:b/>
          <w:sz w:val="28"/>
          <w:szCs w:val="28"/>
        </w:rPr>
        <w:t>Contents</w:t>
      </w:r>
    </w:p>
    <w:p w14:paraId="34ADCDBF" w14:textId="77777777" w:rsidR="00751D6E" w:rsidRDefault="00751D6E">
      <w:pPr>
        <w:rPr>
          <w:rFonts w:ascii="Arial" w:hAnsi="Arial" w:cs="Arial"/>
          <w:b/>
          <w:sz w:val="28"/>
          <w:szCs w:val="28"/>
        </w:rPr>
      </w:pPr>
    </w:p>
    <w:p w14:paraId="0ABAF1A1" w14:textId="77777777" w:rsidR="00751D6E" w:rsidRDefault="00751D6E" w:rsidP="00751D6E">
      <w:pPr>
        <w:numPr>
          <w:ilvl w:val="0"/>
          <w:numId w:val="17"/>
        </w:numPr>
        <w:rPr>
          <w:rFonts w:ascii="Arial" w:hAnsi="Arial" w:cs="Arial"/>
          <w:b/>
          <w:sz w:val="22"/>
          <w:szCs w:val="22"/>
        </w:rPr>
      </w:pPr>
      <w:r>
        <w:rPr>
          <w:rFonts w:ascii="Arial" w:hAnsi="Arial" w:cs="Arial"/>
          <w:b/>
          <w:sz w:val="22"/>
          <w:szCs w:val="22"/>
        </w:rPr>
        <w:t>Introduction</w:t>
      </w:r>
    </w:p>
    <w:p w14:paraId="40D46DC7" w14:textId="4407DE13" w:rsidR="00751D6E" w:rsidRDefault="00751D6E" w:rsidP="00751D6E">
      <w:pPr>
        <w:rPr>
          <w:rFonts w:ascii="Arial" w:hAnsi="Arial" w:cs="Arial"/>
          <w:b/>
          <w:sz w:val="22"/>
          <w:szCs w:val="22"/>
        </w:rPr>
      </w:pPr>
    </w:p>
    <w:p w14:paraId="7CDF5AB0" w14:textId="77777777" w:rsidR="00A47AE3" w:rsidRDefault="00A47AE3" w:rsidP="00751D6E">
      <w:pPr>
        <w:rPr>
          <w:rFonts w:ascii="Arial" w:hAnsi="Arial" w:cs="Arial"/>
          <w:b/>
          <w:sz w:val="22"/>
          <w:szCs w:val="22"/>
        </w:rPr>
      </w:pPr>
    </w:p>
    <w:p w14:paraId="30843F4A" w14:textId="77777777" w:rsidR="00751D6E" w:rsidRDefault="00751D6E" w:rsidP="00751D6E">
      <w:pPr>
        <w:numPr>
          <w:ilvl w:val="0"/>
          <w:numId w:val="17"/>
        </w:numPr>
        <w:rPr>
          <w:rFonts w:ascii="Arial" w:hAnsi="Arial" w:cs="Arial"/>
          <w:b/>
          <w:sz w:val="22"/>
          <w:szCs w:val="22"/>
        </w:rPr>
      </w:pPr>
      <w:r>
        <w:rPr>
          <w:rFonts w:ascii="Arial" w:hAnsi="Arial" w:cs="Arial"/>
          <w:b/>
          <w:sz w:val="22"/>
          <w:szCs w:val="22"/>
        </w:rPr>
        <w:t>Procurement Rules and Regulations</w:t>
      </w:r>
    </w:p>
    <w:p w14:paraId="5C7CC51C" w14:textId="77777777" w:rsidR="00751D6E" w:rsidRDefault="00751D6E" w:rsidP="00751D6E">
      <w:pPr>
        <w:pStyle w:val="ListParagraph"/>
        <w:rPr>
          <w:rFonts w:ascii="Arial" w:hAnsi="Arial" w:cs="Arial"/>
          <w:b/>
          <w:sz w:val="22"/>
          <w:szCs w:val="22"/>
        </w:rPr>
      </w:pPr>
    </w:p>
    <w:p w14:paraId="39A2AB19" w14:textId="77777777" w:rsidR="0077666B" w:rsidRDefault="00751D6E" w:rsidP="0077666B">
      <w:pPr>
        <w:numPr>
          <w:ilvl w:val="1"/>
          <w:numId w:val="17"/>
        </w:numPr>
        <w:rPr>
          <w:rFonts w:ascii="Arial" w:hAnsi="Arial" w:cs="Arial"/>
          <w:sz w:val="22"/>
          <w:szCs w:val="22"/>
        </w:rPr>
      </w:pPr>
      <w:r>
        <w:rPr>
          <w:rFonts w:ascii="Arial" w:hAnsi="Arial" w:cs="Arial"/>
          <w:sz w:val="22"/>
          <w:szCs w:val="22"/>
        </w:rPr>
        <w:t>Authority Contracts Procedure Rules</w:t>
      </w:r>
    </w:p>
    <w:p w14:paraId="308AB573" w14:textId="7238714A" w:rsidR="0077666B" w:rsidRPr="0077666B" w:rsidRDefault="006049E9" w:rsidP="0077666B">
      <w:pPr>
        <w:numPr>
          <w:ilvl w:val="1"/>
          <w:numId w:val="17"/>
        </w:numPr>
        <w:rPr>
          <w:rFonts w:ascii="Arial" w:hAnsi="Arial" w:cs="Arial"/>
          <w:sz w:val="22"/>
          <w:szCs w:val="22"/>
        </w:rPr>
      </w:pPr>
      <w:r>
        <w:rPr>
          <w:rFonts w:ascii="Arial" w:hAnsi="Arial" w:cs="Arial"/>
          <w:sz w:val="22"/>
          <w:szCs w:val="22"/>
        </w:rPr>
        <w:t>Procurement Act 2023</w:t>
      </w:r>
    </w:p>
    <w:p w14:paraId="545FCEAC" w14:textId="77777777" w:rsidR="00751D6E" w:rsidRPr="0077666B" w:rsidRDefault="00751D6E" w:rsidP="0077666B">
      <w:pPr>
        <w:ind w:left="1080"/>
        <w:rPr>
          <w:rFonts w:ascii="Arial" w:hAnsi="Arial" w:cs="Arial"/>
          <w:sz w:val="22"/>
          <w:szCs w:val="22"/>
        </w:rPr>
      </w:pPr>
    </w:p>
    <w:p w14:paraId="7A888AC7" w14:textId="77777777" w:rsidR="00751D6E" w:rsidRDefault="00751D6E" w:rsidP="00751D6E">
      <w:pPr>
        <w:rPr>
          <w:rFonts w:ascii="Arial" w:hAnsi="Arial" w:cs="Arial"/>
          <w:sz w:val="22"/>
          <w:szCs w:val="22"/>
        </w:rPr>
      </w:pPr>
    </w:p>
    <w:p w14:paraId="6340DC84" w14:textId="60778F73" w:rsidR="00751D6E" w:rsidRDefault="00751D6E" w:rsidP="005C2937">
      <w:pPr>
        <w:numPr>
          <w:ilvl w:val="0"/>
          <w:numId w:val="17"/>
        </w:numPr>
        <w:rPr>
          <w:rFonts w:ascii="Arial" w:hAnsi="Arial" w:cs="Arial"/>
          <w:b/>
          <w:sz w:val="22"/>
          <w:szCs w:val="22"/>
        </w:rPr>
      </w:pPr>
      <w:r>
        <w:rPr>
          <w:rFonts w:ascii="Arial" w:hAnsi="Arial" w:cs="Arial"/>
          <w:b/>
          <w:sz w:val="22"/>
          <w:szCs w:val="22"/>
        </w:rPr>
        <w:t xml:space="preserve">Notes and Guides to Purchasing under the </w:t>
      </w:r>
      <w:r w:rsidR="00E83B7F">
        <w:rPr>
          <w:rFonts w:ascii="Arial" w:hAnsi="Arial" w:cs="Arial"/>
          <w:b/>
          <w:sz w:val="22"/>
          <w:szCs w:val="22"/>
        </w:rPr>
        <w:t>P</w:t>
      </w:r>
      <w:r w:rsidR="00851845">
        <w:rPr>
          <w:rFonts w:ascii="Arial" w:hAnsi="Arial" w:cs="Arial"/>
          <w:b/>
          <w:sz w:val="22"/>
          <w:szCs w:val="22"/>
        </w:rPr>
        <w:t xml:space="preserve">rocurement Act 2023 </w:t>
      </w:r>
    </w:p>
    <w:p w14:paraId="4A58A744" w14:textId="77777777" w:rsidR="005C2937" w:rsidRDefault="005C2937" w:rsidP="005C2937">
      <w:pPr>
        <w:ind w:left="720"/>
        <w:rPr>
          <w:rFonts w:ascii="Arial" w:hAnsi="Arial" w:cs="Arial"/>
          <w:sz w:val="22"/>
          <w:szCs w:val="22"/>
        </w:rPr>
      </w:pPr>
    </w:p>
    <w:p w14:paraId="4615CA72" w14:textId="7CD265F4" w:rsidR="005C2937" w:rsidRDefault="005C2937" w:rsidP="005C2937">
      <w:pPr>
        <w:numPr>
          <w:ilvl w:val="1"/>
          <w:numId w:val="17"/>
        </w:numPr>
        <w:rPr>
          <w:rFonts w:ascii="Arial" w:hAnsi="Arial" w:cs="Arial"/>
          <w:sz w:val="22"/>
          <w:szCs w:val="22"/>
        </w:rPr>
      </w:pPr>
      <w:r>
        <w:rPr>
          <w:rFonts w:ascii="Arial" w:hAnsi="Arial" w:cs="Arial"/>
          <w:sz w:val="22"/>
          <w:szCs w:val="22"/>
        </w:rPr>
        <w:t>Notices Explained</w:t>
      </w:r>
    </w:p>
    <w:p w14:paraId="4D046316" w14:textId="39F10FE4" w:rsidR="005C2937" w:rsidRDefault="005C2937" w:rsidP="005C2937">
      <w:pPr>
        <w:numPr>
          <w:ilvl w:val="1"/>
          <w:numId w:val="17"/>
        </w:numPr>
        <w:rPr>
          <w:rFonts w:ascii="Arial" w:hAnsi="Arial" w:cs="Arial"/>
          <w:sz w:val="22"/>
          <w:szCs w:val="22"/>
        </w:rPr>
      </w:pPr>
      <w:r>
        <w:rPr>
          <w:rFonts w:ascii="Arial" w:hAnsi="Arial" w:cs="Arial"/>
          <w:sz w:val="22"/>
          <w:szCs w:val="22"/>
        </w:rPr>
        <w:t>Contracting Procedures explained</w:t>
      </w:r>
    </w:p>
    <w:p w14:paraId="3C5A1D82" w14:textId="0337A741" w:rsidR="005C2937" w:rsidRDefault="005C2937" w:rsidP="005C2937">
      <w:pPr>
        <w:numPr>
          <w:ilvl w:val="1"/>
          <w:numId w:val="17"/>
        </w:numPr>
        <w:rPr>
          <w:rFonts w:ascii="Arial" w:hAnsi="Arial" w:cs="Arial"/>
          <w:sz w:val="22"/>
          <w:szCs w:val="22"/>
        </w:rPr>
      </w:pPr>
      <w:r>
        <w:rPr>
          <w:rFonts w:ascii="Arial" w:hAnsi="Arial" w:cs="Arial"/>
          <w:sz w:val="22"/>
          <w:szCs w:val="22"/>
        </w:rPr>
        <w:t>Mandatory ‘</w:t>
      </w:r>
      <w:r w:rsidR="000D082E">
        <w:rPr>
          <w:rFonts w:ascii="Arial" w:hAnsi="Arial" w:cs="Arial"/>
          <w:sz w:val="22"/>
          <w:szCs w:val="22"/>
        </w:rPr>
        <w:t>S</w:t>
      </w:r>
      <w:r>
        <w:rPr>
          <w:rFonts w:ascii="Arial" w:hAnsi="Arial" w:cs="Arial"/>
          <w:sz w:val="22"/>
          <w:szCs w:val="22"/>
        </w:rPr>
        <w:t>tandstill’ period</w:t>
      </w:r>
    </w:p>
    <w:p w14:paraId="682AC7E2" w14:textId="77777777" w:rsidR="005C2937" w:rsidRPr="005C2937" w:rsidRDefault="005C2937" w:rsidP="005C2937">
      <w:pPr>
        <w:numPr>
          <w:ilvl w:val="1"/>
          <w:numId w:val="17"/>
        </w:numPr>
        <w:rPr>
          <w:rFonts w:ascii="Arial" w:hAnsi="Arial" w:cs="Arial"/>
          <w:sz w:val="22"/>
          <w:szCs w:val="22"/>
        </w:rPr>
      </w:pPr>
      <w:r>
        <w:rPr>
          <w:rFonts w:ascii="Arial" w:hAnsi="Arial" w:cs="Arial"/>
          <w:sz w:val="22"/>
          <w:szCs w:val="22"/>
        </w:rPr>
        <w:t>Collaborative Procurement</w:t>
      </w:r>
    </w:p>
    <w:p w14:paraId="4C432A21" w14:textId="21C6AF56" w:rsidR="005C2937" w:rsidRDefault="005C2937" w:rsidP="005C2937">
      <w:pPr>
        <w:rPr>
          <w:rFonts w:ascii="Arial" w:hAnsi="Arial" w:cs="Arial"/>
          <w:sz w:val="22"/>
          <w:szCs w:val="22"/>
        </w:rPr>
      </w:pPr>
    </w:p>
    <w:p w14:paraId="5E413C26" w14:textId="77777777" w:rsidR="00A47AE3" w:rsidRDefault="00A47AE3" w:rsidP="005C2937">
      <w:pPr>
        <w:rPr>
          <w:rFonts w:ascii="Arial" w:hAnsi="Arial" w:cs="Arial"/>
          <w:sz w:val="22"/>
          <w:szCs w:val="22"/>
        </w:rPr>
      </w:pPr>
    </w:p>
    <w:p w14:paraId="47B40596" w14:textId="77777777" w:rsidR="005C2937" w:rsidRDefault="005C2937" w:rsidP="005C2937">
      <w:pPr>
        <w:numPr>
          <w:ilvl w:val="0"/>
          <w:numId w:val="17"/>
        </w:numPr>
        <w:rPr>
          <w:rFonts w:ascii="Arial" w:hAnsi="Arial" w:cs="Arial"/>
          <w:b/>
          <w:sz w:val="22"/>
          <w:szCs w:val="22"/>
        </w:rPr>
      </w:pPr>
      <w:r>
        <w:rPr>
          <w:rFonts w:ascii="Arial" w:hAnsi="Arial" w:cs="Arial"/>
          <w:b/>
          <w:sz w:val="22"/>
          <w:szCs w:val="22"/>
        </w:rPr>
        <w:t>Tendering for Authority Contracts</w:t>
      </w:r>
    </w:p>
    <w:p w14:paraId="60471DE9" w14:textId="77777777" w:rsidR="005C2937" w:rsidRDefault="005C2937" w:rsidP="005C2937">
      <w:pPr>
        <w:ind w:left="360"/>
        <w:rPr>
          <w:rFonts w:ascii="Arial" w:hAnsi="Arial" w:cs="Arial"/>
          <w:b/>
          <w:sz w:val="22"/>
          <w:szCs w:val="22"/>
        </w:rPr>
      </w:pPr>
    </w:p>
    <w:p w14:paraId="23536C5B" w14:textId="77777777" w:rsidR="005C2937" w:rsidRDefault="005C2937" w:rsidP="005C2937">
      <w:pPr>
        <w:numPr>
          <w:ilvl w:val="1"/>
          <w:numId w:val="17"/>
        </w:numPr>
        <w:rPr>
          <w:rFonts w:ascii="Arial" w:hAnsi="Arial" w:cs="Arial"/>
          <w:sz w:val="22"/>
          <w:szCs w:val="22"/>
        </w:rPr>
      </w:pPr>
      <w:r>
        <w:rPr>
          <w:rFonts w:ascii="Arial" w:hAnsi="Arial" w:cs="Arial"/>
          <w:sz w:val="22"/>
          <w:szCs w:val="22"/>
        </w:rPr>
        <w:t>Pre Qualification</w:t>
      </w:r>
    </w:p>
    <w:p w14:paraId="5270AA70" w14:textId="77777777" w:rsidR="005C2937" w:rsidRDefault="005C2937" w:rsidP="005C2937">
      <w:pPr>
        <w:numPr>
          <w:ilvl w:val="1"/>
          <w:numId w:val="17"/>
        </w:numPr>
        <w:rPr>
          <w:rFonts w:ascii="Arial" w:hAnsi="Arial" w:cs="Arial"/>
          <w:sz w:val="22"/>
          <w:szCs w:val="22"/>
        </w:rPr>
      </w:pPr>
      <w:r>
        <w:rPr>
          <w:rFonts w:ascii="Arial" w:hAnsi="Arial" w:cs="Arial"/>
          <w:sz w:val="22"/>
          <w:szCs w:val="22"/>
        </w:rPr>
        <w:t>Open Tender</w:t>
      </w:r>
    </w:p>
    <w:p w14:paraId="47475A30" w14:textId="77777777" w:rsidR="005C2937" w:rsidRDefault="005C2937" w:rsidP="005C2937">
      <w:pPr>
        <w:numPr>
          <w:ilvl w:val="1"/>
          <w:numId w:val="17"/>
        </w:numPr>
        <w:rPr>
          <w:rFonts w:ascii="Arial" w:hAnsi="Arial" w:cs="Arial"/>
          <w:sz w:val="22"/>
          <w:szCs w:val="22"/>
        </w:rPr>
      </w:pPr>
      <w:r>
        <w:rPr>
          <w:rFonts w:ascii="Arial" w:hAnsi="Arial" w:cs="Arial"/>
          <w:sz w:val="22"/>
          <w:szCs w:val="22"/>
        </w:rPr>
        <w:t>Receipt of Tenders</w:t>
      </w:r>
    </w:p>
    <w:p w14:paraId="175BB291" w14:textId="77777777" w:rsidR="005C2937" w:rsidRDefault="005C2937" w:rsidP="005C2937">
      <w:pPr>
        <w:numPr>
          <w:ilvl w:val="1"/>
          <w:numId w:val="17"/>
        </w:numPr>
        <w:rPr>
          <w:rFonts w:ascii="Arial" w:hAnsi="Arial" w:cs="Arial"/>
          <w:sz w:val="22"/>
          <w:szCs w:val="22"/>
        </w:rPr>
      </w:pPr>
      <w:r>
        <w:rPr>
          <w:rFonts w:ascii="Arial" w:hAnsi="Arial" w:cs="Arial"/>
          <w:sz w:val="22"/>
          <w:szCs w:val="22"/>
        </w:rPr>
        <w:t>Evaluation of Tenders</w:t>
      </w:r>
    </w:p>
    <w:p w14:paraId="33DE10F6" w14:textId="77777777" w:rsidR="005C2937" w:rsidRDefault="005C2937" w:rsidP="005C2937">
      <w:pPr>
        <w:numPr>
          <w:ilvl w:val="1"/>
          <w:numId w:val="17"/>
        </w:numPr>
        <w:rPr>
          <w:rFonts w:ascii="Arial" w:hAnsi="Arial" w:cs="Arial"/>
          <w:sz w:val="22"/>
          <w:szCs w:val="22"/>
        </w:rPr>
      </w:pPr>
      <w:r>
        <w:rPr>
          <w:rFonts w:ascii="Arial" w:hAnsi="Arial" w:cs="Arial"/>
          <w:sz w:val="22"/>
          <w:szCs w:val="22"/>
        </w:rPr>
        <w:t>Contract Award</w:t>
      </w:r>
    </w:p>
    <w:p w14:paraId="693D6E41" w14:textId="07AD69B5" w:rsidR="005C2937" w:rsidRDefault="005C2937" w:rsidP="005C2937">
      <w:pPr>
        <w:rPr>
          <w:rFonts w:ascii="Arial" w:hAnsi="Arial" w:cs="Arial"/>
          <w:sz w:val="22"/>
          <w:szCs w:val="22"/>
        </w:rPr>
      </w:pPr>
    </w:p>
    <w:p w14:paraId="22BCE773" w14:textId="77777777" w:rsidR="00A47AE3" w:rsidRDefault="00A47AE3" w:rsidP="005C2937">
      <w:pPr>
        <w:rPr>
          <w:rFonts w:ascii="Arial" w:hAnsi="Arial" w:cs="Arial"/>
          <w:sz w:val="22"/>
          <w:szCs w:val="22"/>
        </w:rPr>
      </w:pPr>
    </w:p>
    <w:p w14:paraId="74BB98FD" w14:textId="77777777" w:rsidR="005C2937" w:rsidRPr="005C2937" w:rsidRDefault="005C2937" w:rsidP="005C2937">
      <w:pPr>
        <w:rPr>
          <w:rFonts w:ascii="Arial" w:hAnsi="Arial" w:cs="Arial"/>
          <w:b/>
          <w:sz w:val="22"/>
          <w:szCs w:val="22"/>
        </w:rPr>
      </w:pPr>
      <w:r>
        <w:rPr>
          <w:rFonts w:ascii="Arial" w:hAnsi="Arial" w:cs="Arial"/>
          <w:b/>
          <w:sz w:val="22"/>
          <w:szCs w:val="22"/>
        </w:rPr>
        <w:t>5.0 How to be aware of Business Opportunities</w:t>
      </w:r>
    </w:p>
    <w:p w14:paraId="5BE918E5" w14:textId="77777777" w:rsidR="005C2937" w:rsidRPr="005C2937" w:rsidRDefault="005C2937" w:rsidP="005C2937">
      <w:pPr>
        <w:rPr>
          <w:rFonts w:ascii="Arial" w:hAnsi="Arial" w:cs="Arial"/>
          <w:sz w:val="22"/>
          <w:szCs w:val="22"/>
        </w:rPr>
      </w:pPr>
    </w:p>
    <w:p w14:paraId="186CF41E" w14:textId="77777777" w:rsidR="00751D6E" w:rsidRDefault="00751D6E">
      <w:pPr>
        <w:rPr>
          <w:rFonts w:ascii="Arial" w:hAnsi="Arial" w:cs="Arial"/>
          <w:b/>
          <w:sz w:val="22"/>
          <w:szCs w:val="22"/>
        </w:rPr>
      </w:pPr>
    </w:p>
    <w:p w14:paraId="26DDDE18" w14:textId="77777777" w:rsidR="005C2937" w:rsidRDefault="005C2937">
      <w:pPr>
        <w:rPr>
          <w:rFonts w:ascii="Arial" w:hAnsi="Arial" w:cs="Arial"/>
          <w:b/>
          <w:sz w:val="22"/>
          <w:szCs w:val="22"/>
        </w:rPr>
      </w:pPr>
    </w:p>
    <w:p w14:paraId="289E053A" w14:textId="77777777" w:rsidR="005C2937" w:rsidRDefault="005C2937">
      <w:pPr>
        <w:rPr>
          <w:rFonts w:ascii="Arial" w:hAnsi="Arial" w:cs="Arial"/>
          <w:b/>
          <w:sz w:val="22"/>
          <w:szCs w:val="22"/>
        </w:rPr>
      </w:pPr>
    </w:p>
    <w:p w14:paraId="513B58FD" w14:textId="77777777" w:rsidR="005C2937" w:rsidRDefault="005C2937">
      <w:pPr>
        <w:rPr>
          <w:rFonts w:ascii="Arial" w:hAnsi="Arial" w:cs="Arial"/>
          <w:b/>
          <w:sz w:val="22"/>
          <w:szCs w:val="22"/>
        </w:rPr>
      </w:pPr>
    </w:p>
    <w:p w14:paraId="6CD1B05C" w14:textId="77777777" w:rsidR="005C2937" w:rsidRDefault="005C2937">
      <w:pPr>
        <w:rPr>
          <w:rFonts w:ascii="Arial" w:hAnsi="Arial" w:cs="Arial"/>
          <w:b/>
          <w:sz w:val="22"/>
          <w:szCs w:val="22"/>
        </w:rPr>
      </w:pPr>
    </w:p>
    <w:p w14:paraId="43679A14" w14:textId="77777777" w:rsidR="005C2937" w:rsidRDefault="005C2937">
      <w:pPr>
        <w:rPr>
          <w:rFonts w:ascii="Arial" w:hAnsi="Arial" w:cs="Arial"/>
          <w:b/>
          <w:sz w:val="22"/>
          <w:szCs w:val="22"/>
        </w:rPr>
      </w:pPr>
    </w:p>
    <w:p w14:paraId="788ED764" w14:textId="77777777" w:rsidR="005C2937" w:rsidRDefault="005C2937">
      <w:pPr>
        <w:rPr>
          <w:rFonts w:ascii="Arial" w:hAnsi="Arial" w:cs="Arial"/>
          <w:b/>
          <w:sz w:val="22"/>
          <w:szCs w:val="22"/>
        </w:rPr>
      </w:pPr>
    </w:p>
    <w:p w14:paraId="1AEA0746" w14:textId="77777777" w:rsidR="005C2937" w:rsidRDefault="005C2937">
      <w:pPr>
        <w:rPr>
          <w:rFonts w:ascii="Arial" w:hAnsi="Arial" w:cs="Arial"/>
          <w:b/>
          <w:sz w:val="22"/>
          <w:szCs w:val="22"/>
        </w:rPr>
      </w:pPr>
    </w:p>
    <w:p w14:paraId="1F25CA4B" w14:textId="77777777" w:rsidR="005C2937" w:rsidRDefault="005C2937">
      <w:pPr>
        <w:rPr>
          <w:rFonts w:ascii="Arial" w:hAnsi="Arial" w:cs="Arial"/>
          <w:b/>
          <w:sz w:val="22"/>
          <w:szCs w:val="22"/>
        </w:rPr>
      </w:pPr>
    </w:p>
    <w:p w14:paraId="07CE6C20" w14:textId="77777777" w:rsidR="005C2937" w:rsidRDefault="005C2937">
      <w:pPr>
        <w:rPr>
          <w:rFonts w:ascii="Arial" w:hAnsi="Arial" w:cs="Arial"/>
          <w:b/>
          <w:sz w:val="22"/>
          <w:szCs w:val="22"/>
        </w:rPr>
      </w:pPr>
    </w:p>
    <w:p w14:paraId="1516C90A" w14:textId="77777777" w:rsidR="005C2937" w:rsidRDefault="005C2937">
      <w:pPr>
        <w:rPr>
          <w:rFonts w:ascii="Arial" w:hAnsi="Arial" w:cs="Arial"/>
          <w:b/>
          <w:sz w:val="22"/>
          <w:szCs w:val="22"/>
        </w:rPr>
      </w:pPr>
    </w:p>
    <w:p w14:paraId="262B4E10" w14:textId="77777777" w:rsidR="005C2937" w:rsidRDefault="005C2937">
      <w:pPr>
        <w:rPr>
          <w:rFonts w:ascii="Arial" w:hAnsi="Arial" w:cs="Arial"/>
          <w:b/>
          <w:sz w:val="22"/>
          <w:szCs w:val="22"/>
        </w:rPr>
      </w:pPr>
    </w:p>
    <w:p w14:paraId="665E95F3" w14:textId="77777777" w:rsidR="005C2937" w:rsidRDefault="005C2937">
      <w:pPr>
        <w:rPr>
          <w:rFonts w:ascii="Arial" w:hAnsi="Arial" w:cs="Arial"/>
          <w:b/>
          <w:sz w:val="22"/>
          <w:szCs w:val="22"/>
        </w:rPr>
      </w:pPr>
    </w:p>
    <w:p w14:paraId="55AB78D2" w14:textId="77777777" w:rsidR="005C2937" w:rsidRDefault="005C2937">
      <w:pPr>
        <w:rPr>
          <w:rFonts w:ascii="Arial" w:hAnsi="Arial" w:cs="Arial"/>
          <w:b/>
          <w:sz w:val="22"/>
          <w:szCs w:val="22"/>
        </w:rPr>
      </w:pPr>
    </w:p>
    <w:p w14:paraId="2E46FF8F" w14:textId="77777777" w:rsidR="005C2937" w:rsidRDefault="005C2937">
      <w:pPr>
        <w:rPr>
          <w:rFonts w:ascii="Arial" w:hAnsi="Arial" w:cs="Arial"/>
          <w:b/>
          <w:sz w:val="22"/>
          <w:szCs w:val="22"/>
        </w:rPr>
      </w:pPr>
    </w:p>
    <w:p w14:paraId="429AB1D9" w14:textId="77777777" w:rsidR="000B4721" w:rsidRPr="00A95D6D" w:rsidRDefault="000B4721">
      <w:pPr>
        <w:pStyle w:val="Heading2"/>
        <w:rPr>
          <w:rFonts w:ascii="Arial" w:hAnsi="Arial" w:cs="Arial"/>
          <w:sz w:val="22"/>
          <w:szCs w:val="22"/>
        </w:rPr>
      </w:pPr>
      <w:r w:rsidRPr="00A95D6D">
        <w:rPr>
          <w:rFonts w:ascii="Arial" w:hAnsi="Arial" w:cs="Arial"/>
          <w:b/>
          <w:sz w:val="22"/>
          <w:szCs w:val="22"/>
        </w:rPr>
        <w:lastRenderedPageBreak/>
        <w:t>1.0 Introduction</w:t>
      </w:r>
      <w:r w:rsidRPr="00A95D6D">
        <w:rPr>
          <w:rFonts w:ascii="Arial" w:hAnsi="Arial" w:cs="Arial"/>
          <w:sz w:val="22"/>
          <w:szCs w:val="22"/>
        </w:rPr>
        <w:t xml:space="preserve"> </w:t>
      </w:r>
    </w:p>
    <w:p w14:paraId="43A5987D" w14:textId="77777777" w:rsidR="000B4721" w:rsidRPr="00A95D6D" w:rsidRDefault="000B4721">
      <w:pPr>
        <w:rPr>
          <w:rFonts w:ascii="Arial" w:hAnsi="Arial" w:cs="Arial"/>
          <w:sz w:val="22"/>
          <w:szCs w:val="22"/>
          <w:u w:val="single"/>
        </w:rPr>
      </w:pPr>
    </w:p>
    <w:p w14:paraId="42D7D844" w14:textId="77777777" w:rsidR="000B4721" w:rsidRPr="00A95D6D" w:rsidRDefault="000B4721">
      <w:pPr>
        <w:pStyle w:val="BodyText"/>
        <w:jc w:val="both"/>
        <w:rPr>
          <w:rFonts w:ascii="Arial" w:hAnsi="Arial" w:cs="Arial"/>
          <w:sz w:val="22"/>
          <w:szCs w:val="22"/>
        </w:rPr>
      </w:pPr>
      <w:r w:rsidRPr="00A95D6D">
        <w:rPr>
          <w:rFonts w:ascii="Arial" w:hAnsi="Arial" w:cs="Arial"/>
          <w:sz w:val="22"/>
          <w:szCs w:val="22"/>
        </w:rPr>
        <w:t>Sefton Council spends million</w:t>
      </w:r>
      <w:r w:rsidR="00D62BA4">
        <w:rPr>
          <w:rFonts w:ascii="Arial" w:hAnsi="Arial" w:cs="Arial"/>
          <w:sz w:val="22"/>
          <w:szCs w:val="22"/>
        </w:rPr>
        <w:t>s</w:t>
      </w:r>
      <w:r w:rsidRPr="00A95D6D">
        <w:rPr>
          <w:rFonts w:ascii="Arial" w:hAnsi="Arial" w:cs="Arial"/>
          <w:sz w:val="22"/>
          <w:szCs w:val="22"/>
        </w:rPr>
        <w:t xml:space="preserve"> per an</w:t>
      </w:r>
      <w:r w:rsidR="00E073D0" w:rsidRPr="00A95D6D">
        <w:rPr>
          <w:rFonts w:ascii="Arial" w:hAnsi="Arial" w:cs="Arial"/>
          <w:sz w:val="22"/>
          <w:szCs w:val="22"/>
        </w:rPr>
        <w:t>n</w:t>
      </w:r>
      <w:r w:rsidRPr="00A95D6D">
        <w:rPr>
          <w:rFonts w:ascii="Arial" w:hAnsi="Arial" w:cs="Arial"/>
          <w:sz w:val="22"/>
          <w:szCs w:val="22"/>
        </w:rPr>
        <w:t xml:space="preserve">um on the provision of goods and services. </w:t>
      </w:r>
    </w:p>
    <w:p w14:paraId="6D906EE9" w14:textId="77777777" w:rsidR="000B4721" w:rsidRPr="00A95D6D" w:rsidRDefault="000B4721">
      <w:pPr>
        <w:jc w:val="both"/>
        <w:rPr>
          <w:rFonts w:ascii="Arial" w:hAnsi="Arial" w:cs="Arial"/>
          <w:sz w:val="22"/>
          <w:szCs w:val="22"/>
        </w:rPr>
      </w:pPr>
    </w:p>
    <w:p w14:paraId="58FBC20D" w14:textId="77777777" w:rsidR="000B4721" w:rsidRPr="00A95D6D" w:rsidRDefault="000B4721">
      <w:pPr>
        <w:pStyle w:val="BodyText2"/>
        <w:rPr>
          <w:rFonts w:ascii="Arial" w:hAnsi="Arial" w:cs="Arial"/>
          <w:sz w:val="22"/>
          <w:szCs w:val="22"/>
        </w:rPr>
      </w:pPr>
      <w:r w:rsidRPr="00A95D6D">
        <w:rPr>
          <w:rFonts w:ascii="Arial" w:hAnsi="Arial" w:cs="Arial"/>
          <w:sz w:val="22"/>
          <w:szCs w:val="22"/>
        </w:rPr>
        <w:t xml:space="preserve">The Authority is committed to providing high quality services to meet both the current and future needs of local people. Effective procurement, based on a principal of value for money, will only support the Authority in achieving this vision and meeting its corporate objectives. The Authority strives to ensure that it’s activities are undertaken with honesty, equality, integrity and transparency. The Authority sees its suppliers as having a key role to play, as such the Authority encourages competition, welcoming proposals from both new and existing suppliers. </w:t>
      </w:r>
    </w:p>
    <w:p w14:paraId="4D504BA8" w14:textId="77777777" w:rsidR="000B4721" w:rsidRPr="00A95D6D" w:rsidRDefault="000B4721">
      <w:pPr>
        <w:jc w:val="both"/>
        <w:rPr>
          <w:rFonts w:ascii="Arial" w:hAnsi="Arial" w:cs="Arial"/>
          <w:sz w:val="22"/>
          <w:szCs w:val="22"/>
        </w:rPr>
      </w:pPr>
    </w:p>
    <w:p w14:paraId="1C734B31" w14:textId="77777777" w:rsidR="000B4721" w:rsidRPr="00A95D6D" w:rsidRDefault="000B4721">
      <w:pPr>
        <w:jc w:val="both"/>
        <w:rPr>
          <w:rFonts w:ascii="Arial" w:hAnsi="Arial" w:cs="Arial"/>
          <w:sz w:val="22"/>
          <w:szCs w:val="22"/>
        </w:rPr>
      </w:pPr>
      <w:r w:rsidRPr="00A95D6D">
        <w:rPr>
          <w:rFonts w:ascii="Arial" w:hAnsi="Arial" w:cs="Arial"/>
          <w:sz w:val="22"/>
          <w:szCs w:val="22"/>
        </w:rPr>
        <w:t xml:space="preserve">The guide has been produced in an effort to help suppliers by </w:t>
      </w:r>
    </w:p>
    <w:p w14:paraId="0E186481" w14:textId="77777777" w:rsidR="000B4721" w:rsidRPr="00A95D6D" w:rsidRDefault="000B4721">
      <w:pPr>
        <w:jc w:val="both"/>
        <w:rPr>
          <w:rFonts w:ascii="Arial" w:hAnsi="Arial" w:cs="Arial"/>
          <w:sz w:val="22"/>
          <w:szCs w:val="22"/>
        </w:rPr>
      </w:pPr>
    </w:p>
    <w:p w14:paraId="58D46A33" w14:textId="77777777" w:rsidR="000B4721" w:rsidRPr="00A95D6D" w:rsidRDefault="000B4721">
      <w:pPr>
        <w:jc w:val="both"/>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Clarifying the rules that The Authority must follow in inviting suppliers to bid for Authority business</w:t>
      </w:r>
    </w:p>
    <w:p w14:paraId="67FB0F5A" w14:textId="77777777" w:rsidR="000B4721" w:rsidRPr="00A95D6D" w:rsidRDefault="000B4721">
      <w:pPr>
        <w:jc w:val="both"/>
        <w:rPr>
          <w:rFonts w:ascii="Arial" w:hAnsi="Arial" w:cs="Arial"/>
          <w:sz w:val="22"/>
          <w:szCs w:val="22"/>
        </w:rPr>
      </w:pPr>
    </w:p>
    <w:p w14:paraId="2588CDF5" w14:textId="77777777" w:rsidR="000B4721" w:rsidRPr="00A95D6D" w:rsidRDefault="000B4721">
      <w:pPr>
        <w:jc w:val="both"/>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Aiming to inform suppliers how to identify opportunities from the range of goods and services required by the Authority</w:t>
      </w:r>
    </w:p>
    <w:p w14:paraId="0C51F6D1" w14:textId="77777777" w:rsidR="000B4721" w:rsidRPr="00A95D6D" w:rsidRDefault="000B4721">
      <w:pPr>
        <w:jc w:val="both"/>
        <w:rPr>
          <w:rFonts w:ascii="Arial" w:hAnsi="Arial" w:cs="Arial"/>
          <w:sz w:val="22"/>
          <w:szCs w:val="22"/>
        </w:rPr>
      </w:pPr>
    </w:p>
    <w:p w14:paraId="3F7655FD" w14:textId="77777777" w:rsidR="000B4721" w:rsidRPr="00A95D6D" w:rsidRDefault="000B4721">
      <w:pPr>
        <w:jc w:val="both"/>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 xml:space="preserve">Explaining how to tender for Authority business </w:t>
      </w:r>
    </w:p>
    <w:p w14:paraId="39CDAF3D" w14:textId="77777777" w:rsidR="000B4721" w:rsidRPr="00A95D6D" w:rsidRDefault="000B4721">
      <w:pPr>
        <w:jc w:val="both"/>
        <w:rPr>
          <w:rFonts w:ascii="Arial" w:hAnsi="Arial" w:cs="Arial"/>
          <w:sz w:val="22"/>
          <w:szCs w:val="22"/>
        </w:rPr>
      </w:pPr>
      <w:r w:rsidRPr="00A95D6D">
        <w:rPr>
          <w:rFonts w:ascii="Arial" w:hAnsi="Arial" w:cs="Arial"/>
          <w:sz w:val="22"/>
          <w:szCs w:val="22"/>
        </w:rPr>
        <w:t xml:space="preserve">  </w:t>
      </w:r>
    </w:p>
    <w:p w14:paraId="22C89951" w14:textId="77777777" w:rsidR="000B4721" w:rsidRPr="00A95D6D" w:rsidRDefault="000B4721">
      <w:pPr>
        <w:jc w:val="both"/>
        <w:rPr>
          <w:rFonts w:ascii="Arial" w:hAnsi="Arial" w:cs="Arial"/>
          <w:sz w:val="22"/>
          <w:szCs w:val="22"/>
        </w:rPr>
      </w:pPr>
    </w:p>
    <w:p w14:paraId="04AE9052" w14:textId="77777777" w:rsidR="000B4721" w:rsidRPr="00A95D6D" w:rsidRDefault="000B4721">
      <w:pPr>
        <w:pStyle w:val="Heading3"/>
        <w:rPr>
          <w:rFonts w:ascii="Arial" w:hAnsi="Arial" w:cs="Arial"/>
          <w:sz w:val="22"/>
          <w:szCs w:val="22"/>
        </w:rPr>
      </w:pPr>
      <w:r w:rsidRPr="00A95D6D">
        <w:rPr>
          <w:rFonts w:ascii="Arial" w:hAnsi="Arial" w:cs="Arial"/>
          <w:sz w:val="22"/>
          <w:szCs w:val="22"/>
        </w:rPr>
        <w:t xml:space="preserve">2.0 Procurement Rules and Regulations </w:t>
      </w:r>
    </w:p>
    <w:p w14:paraId="37E34FBD" w14:textId="77777777" w:rsidR="000B4721" w:rsidRPr="00A95D6D" w:rsidRDefault="000B4721">
      <w:pPr>
        <w:rPr>
          <w:rFonts w:ascii="Arial" w:hAnsi="Arial" w:cs="Arial"/>
          <w:sz w:val="22"/>
          <w:szCs w:val="22"/>
        </w:rPr>
      </w:pPr>
    </w:p>
    <w:p w14:paraId="2676D71C" w14:textId="1E4A1CAC" w:rsidR="000B4721" w:rsidRDefault="000B4721">
      <w:pPr>
        <w:rPr>
          <w:rFonts w:ascii="Arial" w:hAnsi="Arial" w:cs="Arial"/>
          <w:sz w:val="22"/>
          <w:szCs w:val="22"/>
        </w:rPr>
      </w:pPr>
      <w:r w:rsidRPr="00A95D6D">
        <w:rPr>
          <w:rFonts w:ascii="Arial" w:hAnsi="Arial" w:cs="Arial"/>
          <w:sz w:val="22"/>
          <w:szCs w:val="22"/>
        </w:rPr>
        <w:t xml:space="preserve">The Authority has to follow certain rules and regulations that are set </w:t>
      </w:r>
      <w:r w:rsidR="00BE1A8A">
        <w:rPr>
          <w:rFonts w:ascii="Arial" w:hAnsi="Arial" w:cs="Arial"/>
          <w:sz w:val="22"/>
          <w:szCs w:val="22"/>
        </w:rPr>
        <w:t xml:space="preserve">both </w:t>
      </w:r>
      <w:r w:rsidRPr="00A95D6D">
        <w:rPr>
          <w:rFonts w:ascii="Arial" w:hAnsi="Arial" w:cs="Arial"/>
          <w:sz w:val="22"/>
          <w:szCs w:val="22"/>
        </w:rPr>
        <w:t xml:space="preserve">internally by the Authority, </w:t>
      </w:r>
      <w:r w:rsidR="00BE1A8A">
        <w:rPr>
          <w:rFonts w:ascii="Arial" w:hAnsi="Arial" w:cs="Arial"/>
          <w:sz w:val="22"/>
          <w:szCs w:val="22"/>
        </w:rPr>
        <w:t xml:space="preserve">and </w:t>
      </w:r>
      <w:r w:rsidRPr="00A95D6D">
        <w:rPr>
          <w:rFonts w:ascii="Arial" w:hAnsi="Arial" w:cs="Arial"/>
          <w:sz w:val="22"/>
          <w:szCs w:val="22"/>
        </w:rPr>
        <w:t>nationally</w:t>
      </w:r>
      <w:r w:rsidR="00BE1A8A">
        <w:rPr>
          <w:rFonts w:ascii="Arial" w:hAnsi="Arial" w:cs="Arial"/>
          <w:sz w:val="22"/>
          <w:szCs w:val="22"/>
        </w:rPr>
        <w:t xml:space="preserve"> </w:t>
      </w:r>
      <w:r w:rsidRPr="00A95D6D">
        <w:rPr>
          <w:rFonts w:ascii="Arial" w:hAnsi="Arial" w:cs="Arial"/>
          <w:sz w:val="22"/>
          <w:szCs w:val="22"/>
        </w:rPr>
        <w:t>by Central Go</w:t>
      </w:r>
      <w:r w:rsidR="00BE1A8A">
        <w:rPr>
          <w:rFonts w:ascii="Arial" w:hAnsi="Arial" w:cs="Arial"/>
          <w:sz w:val="22"/>
          <w:szCs w:val="22"/>
        </w:rPr>
        <w:t>vernment</w:t>
      </w:r>
      <w:r w:rsidRPr="00A95D6D">
        <w:rPr>
          <w:rFonts w:ascii="Arial" w:hAnsi="Arial" w:cs="Arial"/>
          <w:sz w:val="22"/>
          <w:szCs w:val="22"/>
        </w:rPr>
        <w:t>.</w:t>
      </w:r>
    </w:p>
    <w:p w14:paraId="382711A8" w14:textId="77777777" w:rsidR="00BE1A8A" w:rsidRPr="00A95D6D" w:rsidRDefault="00BE1A8A">
      <w:pPr>
        <w:rPr>
          <w:rFonts w:ascii="Arial" w:hAnsi="Arial" w:cs="Arial"/>
          <w:sz w:val="22"/>
          <w:szCs w:val="22"/>
        </w:rPr>
      </w:pPr>
    </w:p>
    <w:p w14:paraId="4DDD349E" w14:textId="77777777" w:rsidR="000B4721" w:rsidRPr="00A95D6D" w:rsidRDefault="000B4721">
      <w:pPr>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The local rules are known as AUTHORITY CONTRACTS PROCEDURE RULES</w:t>
      </w:r>
    </w:p>
    <w:p w14:paraId="3A388264" w14:textId="122A535B" w:rsidR="000B4721" w:rsidRPr="00A95D6D" w:rsidRDefault="000B4721">
      <w:pPr>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The national</w:t>
      </w:r>
      <w:r w:rsidR="00BE1A8A">
        <w:rPr>
          <w:rFonts w:ascii="Arial" w:hAnsi="Arial" w:cs="Arial"/>
          <w:sz w:val="22"/>
          <w:szCs w:val="22"/>
        </w:rPr>
        <w:t xml:space="preserve"> rules are known as T</w:t>
      </w:r>
      <w:r w:rsidR="005265EF">
        <w:rPr>
          <w:rFonts w:ascii="Arial" w:hAnsi="Arial" w:cs="Arial"/>
          <w:sz w:val="22"/>
          <w:szCs w:val="22"/>
        </w:rPr>
        <w:t>HE P</w:t>
      </w:r>
      <w:r w:rsidR="003A7EE8">
        <w:rPr>
          <w:rFonts w:ascii="Arial" w:hAnsi="Arial" w:cs="Arial"/>
          <w:sz w:val="22"/>
          <w:szCs w:val="22"/>
        </w:rPr>
        <w:t>ROCUREMENT ACT 2023 (PA23)</w:t>
      </w:r>
    </w:p>
    <w:p w14:paraId="24EF0CDF" w14:textId="77777777" w:rsidR="000B4721" w:rsidRPr="00A95D6D" w:rsidRDefault="000B4721">
      <w:pPr>
        <w:ind w:left="360"/>
        <w:outlineLvl w:val="0"/>
        <w:rPr>
          <w:rFonts w:ascii="Arial" w:hAnsi="Arial" w:cs="Arial"/>
          <w:sz w:val="22"/>
          <w:szCs w:val="22"/>
        </w:rPr>
      </w:pPr>
    </w:p>
    <w:p w14:paraId="01CD98FD" w14:textId="55C03BD2" w:rsidR="000B4721" w:rsidRPr="00A95D6D" w:rsidRDefault="000B4721">
      <w:pPr>
        <w:rPr>
          <w:rFonts w:ascii="Arial" w:hAnsi="Arial" w:cs="Arial"/>
          <w:sz w:val="22"/>
          <w:szCs w:val="22"/>
        </w:rPr>
      </w:pPr>
      <w:r w:rsidRPr="00A95D6D">
        <w:rPr>
          <w:rFonts w:ascii="Arial" w:hAnsi="Arial" w:cs="Arial"/>
          <w:sz w:val="22"/>
          <w:szCs w:val="22"/>
        </w:rPr>
        <w:t>The regulations that apply are linked to the value of the contract involved.</w:t>
      </w:r>
    </w:p>
    <w:p w14:paraId="4772CA72" w14:textId="77777777" w:rsidR="000B4721" w:rsidRPr="00A95D6D" w:rsidRDefault="000B4721">
      <w:pPr>
        <w:rPr>
          <w:rFonts w:ascii="Arial" w:hAnsi="Arial" w:cs="Arial"/>
          <w:sz w:val="22"/>
          <w:szCs w:val="22"/>
        </w:rPr>
      </w:pPr>
    </w:p>
    <w:p w14:paraId="19CD5B86" w14:textId="77777777" w:rsidR="002954C8" w:rsidRDefault="002954C8">
      <w:pPr>
        <w:pStyle w:val="Heading4"/>
        <w:rPr>
          <w:rFonts w:ascii="Arial" w:hAnsi="Arial" w:cs="Arial"/>
          <w:sz w:val="22"/>
          <w:szCs w:val="22"/>
        </w:rPr>
      </w:pPr>
    </w:p>
    <w:p w14:paraId="763CE191" w14:textId="77777777" w:rsidR="000B4721" w:rsidRPr="00A95D6D" w:rsidRDefault="000B4721">
      <w:pPr>
        <w:pStyle w:val="Heading4"/>
        <w:rPr>
          <w:rFonts w:ascii="Arial" w:hAnsi="Arial" w:cs="Arial"/>
          <w:sz w:val="22"/>
          <w:szCs w:val="22"/>
        </w:rPr>
      </w:pPr>
      <w:r w:rsidRPr="00A95D6D">
        <w:rPr>
          <w:rFonts w:ascii="Arial" w:hAnsi="Arial" w:cs="Arial"/>
          <w:sz w:val="22"/>
          <w:szCs w:val="22"/>
        </w:rPr>
        <w:t>2.1 Authority Contracts Procedure Rules</w:t>
      </w:r>
    </w:p>
    <w:p w14:paraId="18A6793B" w14:textId="77777777" w:rsidR="000B4721" w:rsidRPr="00A95D6D" w:rsidRDefault="000B4721">
      <w:pPr>
        <w:rPr>
          <w:rFonts w:ascii="Arial" w:hAnsi="Arial" w:cs="Arial"/>
          <w:sz w:val="22"/>
          <w:szCs w:val="22"/>
        </w:rPr>
      </w:pPr>
    </w:p>
    <w:p w14:paraId="45858228" w14:textId="23293788" w:rsidR="00B557BE" w:rsidRDefault="000B4721">
      <w:pPr>
        <w:rPr>
          <w:rFonts w:ascii="Arial" w:hAnsi="Arial" w:cs="Arial"/>
          <w:sz w:val="22"/>
          <w:szCs w:val="22"/>
        </w:rPr>
      </w:pPr>
      <w:r w:rsidRPr="00A95D6D">
        <w:rPr>
          <w:rFonts w:ascii="Arial" w:hAnsi="Arial" w:cs="Arial"/>
          <w:sz w:val="22"/>
          <w:szCs w:val="22"/>
        </w:rPr>
        <w:t xml:space="preserve">The Authority has to follow its </w:t>
      </w:r>
      <w:r w:rsidR="00B557BE">
        <w:rPr>
          <w:rFonts w:ascii="Arial" w:hAnsi="Arial" w:cs="Arial"/>
          <w:sz w:val="22"/>
          <w:szCs w:val="22"/>
        </w:rPr>
        <w:t xml:space="preserve">own </w:t>
      </w:r>
      <w:hyperlink r:id="rId9" w:history="1">
        <w:r w:rsidRPr="002D7771">
          <w:rPr>
            <w:rFonts w:ascii="Arial" w:hAnsi="Arial" w:cs="Arial"/>
            <w:sz w:val="22"/>
            <w:szCs w:val="22"/>
          </w:rPr>
          <w:t>Contracts Procedure Rules</w:t>
        </w:r>
      </w:hyperlink>
      <w:r w:rsidRPr="00A95D6D">
        <w:rPr>
          <w:rFonts w:ascii="Arial" w:hAnsi="Arial" w:cs="Arial"/>
          <w:sz w:val="22"/>
          <w:szCs w:val="22"/>
        </w:rPr>
        <w:t xml:space="preserve">, which regulate how it conducts its business. There are various rules, which relate to contracts, which are mandatory throughout the Authority. </w:t>
      </w:r>
    </w:p>
    <w:p w14:paraId="2DDF1B70" w14:textId="77777777" w:rsidR="00B557BE" w:rsidRDefault="00B557BE">
      <w:pPr>
        <w:rPr>
          <w:rFonts w:ascii="Arial" w:hAnsi="Arial" w:cs="Arial"/>
          <w:sz w:val="22"/>
          <w:szCs w:val="22"/>
        </w:rPr>
      </w:pPr>
    </w:p>
    <w:p w14:paraId="632C6889" w14:textId="77777777" w:rsidR="000B4721" w:rsidRPr="00A95D6D" w:rsidRDefault="000B4721">
      <w:pPr>
        <w:rPr>
          <w:rFonts w:ascii="Arial" w:hAnsi="Arial" w:cs="Arial"/>
          <w:sz w:val="22"/>
          <w:szCs w:val="22"/>
        </w:rPr>
      </w:pPr>
      <w:r w:rsidRPr="00A95D6D">
        <w:rPr>
          <w:rFonts w:ascii="Arial" w:hAnsi="Arial" w:cs="Arial"/>
          <w:sz w:val="22"/>
          <w:szCs w:val="22"/>
        </w:rPr>
        <w:t xml:space="preserve">In summary, these contract procedure rules govern how contracts of different values must be: </w:t>
      </w:r>
    </w:p>
    <w:p w14:paraId="39B3293C" w14:textId="77777777" w:rsidR="000B4721" w:rsidRPr="00A95D6D" w:rsidRDefault="000B4721">
      <w:pPr>
        <w:rPr>
          <w:rFonts w:ascii="Arial" w:hAnsi="Arial" w:cs="Arial"/>
          <w:sz w:val="22"/>
          <w:szCs w:val="22"/>
        </w:rPr>
      </w:pPr>
    </w:p>
    <w:p w14:paraId="2941B7FE" w14:textId="6EB00CF3" w:rsidR="000B4721" w:rsidRDefault="000B4721">
      <w:pPr>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Advertised</w:t>
      </w:r>
    </w:p>
    <w:p w14:paraId="72EDB41F" w14:textId="77777777" w:rsidR="00A47AE3" w:rsidRPr="00A95D6D" w:rsidRDefault="00A47AE3">
      <w:pPr>
        <w:rPr>
          <w:rFonts w:ascii="Arial" w:hAnsi="Arial" w:cs="Arial"/>
          <w:sz w:val="22"/>
          <w:szCs w:val="22"/>
        </w:rPr>
      </w:pPr>
    </w:p>
    <w:p w14:paraId="593C52E7" w14:textId="2423EE31" w:rsidR="000B4721" w:rsidRDefault="000B4721">
      <w:pPr>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Specified</w:t>
      </w:r>
    </w:p>
    <w:p w14:paraId="11759B0E" w14:textId="77777777" w:rsidR="00A47AE3" w:rsidRPr="00A95D6D" w:rsidRDefault="00A47AE3">
      <w:pPr>
        <w:rPr>
          <w:rFonts w:ascii="Arial" w:hAnsi="Arial" w:cs="Arial"/>
          <w:sz w:val="22"/>
          <w:szCs w:val="22"/>
        </w:rPr>
      </w:pPr>
    </w:p>
    <w:p w14:paraId="7A455AA1" w14:textId="67CA25F9" w:rsidR="000B4721" w:rsidRDefault="000B4721">
      <w:pPr>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Submitted</w:t>
      </w:r>
    </w:p>
    <w:p w14:paraId="511FC302" w14:textId="77777777" w:rsidR="00A47AE3" w:rsidRPr="00A95D6D" w:rsidRDefault="00A47AE3">
      <w:pPr>
        <w:rPr>
          <w:rFonts w:ascii="Arial" w:hAnsi="Arial" w:cs="Arial"/>
          <w:sz w:val="22"/>
          <w:szCs w:val="22"/>
        </w:rPr>
      </w:pPr>
    </w:p>
    <w:p w14:paraId="51B2D636" w14:textId="77777777" w:rsidR="000B4721" w:rsidRPr="00A95D6D" w:rsidRDefault="000B4721">
      <w:pPr>
        <w:rPr>
          <w:rFonts w:ascii="Arial" w:hAnsi="Arial" w:cs="Arial"/>
          <w:sz w:val="22"/>
          <w:szCs w:val="22"/>
        </w:rPr>
      </w:pPr>
      <w:r w:rsidRPr="00A95D6D">
        <w:rPr>
          <w:rFonts w:ascii="Arial" w:hAnsi="Arial" w:cs="Arial"/>
          <w:sz w:val="22"/>
          <w:szCs w:val="22"/>
        </w:rPr>
        <w:sym w:font="Webdings" w:char="F03D"/>
      </w:r>
      <w:r w:rsidRPr="00A95D6D">
        <w:rPr>
          <w:rFonts w:ascii="Arial" w:hAnsi="Arial" w:cs="Arial"/>
          <w:sz w:val="22"/>
          <w:szCs w:val="22"/>
        </w:rPr>
        <w:t>Reported to Councillors</w:t>
      </w:r>
    </w:p>
    <w:p w14:paraId="54D0BC0B" w14:textId="77777777" w:rsidR="000B4721" w:rsidRPr="00A95D6D" w:rsidRDefault="000B4721">
      <w:pPr>
        <w:rPr>
          <w:rFonts w:ascii="Arial" w:hAnsi="Arial" w:cs="Arial"/>
          <w:sz w:val="22"/>
          <w:szCs w:val="22"/>
        </w:rPr>
      </w:pPr>
    </w:p>
    <w:p w14:paraId="66CAD772" w14:textId="77777777" w:rsidR="005C2937" w:rsidRDefault="005C2937">
      <w:pPr>
        <w:rPr>
          <w:rFonts w:ascii="Arial" w:hAnsi="Arial" w:cs="Arial"/>
          <w:sz w:val="22"/>
          <w:szCs w:val="22"/>
        </w:rPr>
      </w:pPr>
    </w:p>
    <w:p w14:paraId="0EB82E5F" w14:textId="77777777" w:rsidR="005C2937" w:rsidRDefault="005C2937">
      <w:pPr>
        <w:rPr>
          <w:rFonts w:ascii="Arial" w:hAnsi="Arial" w:cs="Arial"/>
          <w:sz w:val="22"/>
          <w:szCs w:val="22"/>
        </w:rPr>
      </w:pPr>
    </w:p>
    <w:p w14:paraId="4AD7B2F3" w14:textId="77777777" w:rsidR="005C2937" w:rsidRDefault="005C2937">
      <w:pPr>
        <w:rPr>
          <w:rFonts w:ascii="Arial" w:hAnsi="Arial" w:cs="Arial"/>
          <w:sz w:val="22"/>
          <w:szCs w:val="22"/>
        </w:rPr>
      </w:pPr>
    </w:p>
    <w:p w14:paraId="6EFD2815" w14:textId="77777777" w:rsidR="000B4721" w:rsidRPr="00A95D6D" w:rsidRDefault="000B4721">
      <w:pPr>
        <w:rPr>
          <w:rFonts w:ascii="Arial" w:hAnsi="Arial" w:cs="Arial"/>
          <w:sz w:val="22"/>
          <w:szCs w:val="22"/>
        </w:rPr>
      </w:pPr>
      <w:r w:rsidRPr="00A95D6D">
        <w:rPr>
          <w:rFonts w:ascii="Arial" w:hAnsi="Arial" w:cs="Arial"/>
          <w:sz w:val="22"/>
          <w:szCs w:val="22"/>
        </w:rPr>
        <w:lastRenderedPageBreak/>
        <w:t xml:space="preserve">The following summary sets out to inform how contracts of differing values are dealt with </w:t>
      </w:r>
    </w:p>
    <w:p w14:paraId="00F7A30C" w14:textId="77777777" w:rsidR="000B4721" w:rsidRPr="00A95D6D" w:rsidRDefault="000B4721">
      <w:pPr>
        <w:rPr>
          <w:rFonts w:ascii="Arial" w:hAnsi="Arial" w:cs="Arial"/>
          <w:sz w:val="22"/>
          <w:szCs w:val="22"/>
        </w:rPr>
      </w:pPr>
    </w:p>
    <w:p w14:paraId="3736A8C0" w14:textId="77777777" w:rsidR="000B4721" w:rsidRPr="00A95D6D" w:rsidRDefault="000B4721">
      <w:pPr>
        <w:rPr>
          <w:rFonts w:ascii="Arial" w:hAnsi="Arial" w:cs="Arial"/>
          <w:sz w:val="22"/>
          <w:szCs w:val="22"/>
        </w:rPr>
      </w:pPr>
    </w:p>
    <w:tbl>
      <w:tblPr>
        <w:tblStyle w:val="TableGrid"/>
        <w:tblW w:w="0" w:type="auto"/>
        <w:tblLook w:val="04A0" w:firstRow="1" w:lastRow="0" w:firstColumn="1" w:lastColumn="0" w:noHBand="0" w:noVBand="1"/>
      </w:tblPr>
      <w:tblGrid>
        <w:gridCol w:w="2069"/>
        <w:gridCol w:w="2068"/>
        <w:gridCol w:w="2069"/>
        <w:gridCol w:w="2090"/>
      </w:tblGrid>
      <w:tr w:rsidR="00B620C7" w14:paraId="1CCA5D91" w14:textId="77777777" w:rsidTr="00B13688">
        <w:tc>
          <w:tcPr>
            <w:tcW w:w="2130" w:type="dxa"/>
            <w:shd w:val="clear" w:color="auto" w:fill="C6D9F1" w:themeFill="text2" w:themeFillTint="33"/>
          </w:tcPr>
          <w:p w14:paraId="46F499BA" w14:textId="77777777" w:rsidR="00B620C7" w:rsidRDefault="00B620C7">
            <w:pPr>
              <w:rPr>
                <w:rFonts w:ascii="Arial" w:hAnsi="Arial" w:cs="Arial"/>
                <w:sz w:val="22"/>
                <w:szCs w:val="22"/>
              </w:rPr>
            </w:pPr>
            <w:r w:rsidRPr="00A95D6D">
              <w:rPr>
                <w:rFonts w:ascii="Arial" w:hAnsi="Arial" w:cs="Arial"/>
                <w:b/>
                <w:sz w:val="22"/>
                <w:szCs w:val="22"/>
              </w:rPr>
              <w:t>Works</w:t>
            </w:r>
          </w:p>
        </w:tc>
        <w:tc>
          <w:tcPr>
            <w:tcW w:w="2130" w:type="dxa"/>
            <w:shd w:val="clear" w:color="auto" w:fill="C6D9F1" w:themeFill="text2" w:themeFillTint="33"/>
          </w:tcPr>
          <w:p w14:paraId="30BA60EB" w14:textId="77777777" w:rsidR="00B620C7" w:rsidRDefault="00B620C7">
            <w:pPr>
              <w:rPr>
                <w:rFonts w:ascii="Arial" w:hAnsi="Arial" w:cs="Arial"/>
                <w:sz w:val="22"/>
                <w:szCs w:val="22"/>
              </w:rPr>
            </w:pPr>
            <w:r w:rsidRPr="00A95D6D">
              <w:rPr>
                <w:rFonts w:ascii="Arial" w:hAnsi="Arial" w:cs="Arial"/>
                <w:b/>
                <w:sz w:val="22"/>
                <w:szCs w:val="22"/>
              </w:rPr>
              <w:t>Supplies and Services</w:t>
            </w:r>
          </w:p>
        </w:tc>
        <w:tc>
          <w:tcPr>
            <w:tcW w:w="2131" w:type="dxa"/>
            <w:shd w:val="clear" w:color="auto" w:fill="C6D9F1" w:themeFill="text2" w:themeFillTint="33"/>
          </w:tcPr>
          <w:p w14:paraId="7924E3DF" w14:textId="77777777" w:rsidR="00B620C7" w:rsidRDefault="00B620C7">
            <w:pPr>
              <w:rPr>
                <w:rFonts w:ascii="Arial" w:hAnsi="Arial" w:cs="Arial"/>
                <w:b/>
                <w:sz w:val="22"/>
                <w:szCs w:val="22"/>
              </w:rPr>
            </w:pPr>
            <w:r w:rsidRPr="00B620C7">
              <w:rPr>
                <w:rFonts w:ascii="Arial" w:hAnsi="Arial" w:cs="Arial"/>
                <w:b/>
                <w:sz w:val="22"/>
                <w:szCs w:val="22"/>
              </w:rPr>
              <w:t>‘Light Touch Regime’ Services</w:t>
            </w:r>
          </w:p>
          <w:p w14:paraId="1746CD50" w14:textId="77777777" w:rsidR="00B620C7" w:rsidRPr="00B620C7" w:rsidRDefault="00B620C7">
            <w:pPr>
              <w:rPr>
                <w:rFonts w:ascii="Arial" w:hAnsi="Arial" w:cs="Arial"/>
                <w:b/>
                <w:sz w:val="22"/>
                <w:szCs w:val="22"/>
              </w:rPr>
            </w:pPr>
          </w:p>
        </w:tc>
        <w:tc>
          <w:tcPr>
            <w:tcW w:w="2131" w:type="dxa"/>
            <w:shd w:val="clear" w:color="auto" w:fill="C6D9F1" w:themeFill="text2" w:themeFillTint="33"/>
          </w:tcPr>
          <w:p w14:paraId="123F2DBD" w14:textId="77777777" w:rsidR="00B620C7" w:rsidRDefault="00B620C7">
            <w:pPr>
              <w:rPr>
                <w:rFonts w:ascii="Arial" w:hAnsi="Arial" w:cs="Arial"/>
                <w:sz w:val="22"/>
                <w:szCs w:val="22"/>
              </w:rPr>
            </w:pPr>
            <w:r w:rsidRPr="00A95D6D">
              <w:rPr>
                <w:rFonts w:ascii="Arial" w:hAnsi="Arial" w:cs="Arial"/>
                <w:b/>
                <w:sz w:val="22"/>
                <w:szCs w:val="22"/>
              </w:rPr>
              <w:t>Procedure</w:t>
            </w:r>
          </w:p>
        </w:tc>
      </w:tr>
      <w:tr w:rsidR="00B620C7" w:rsidRPr="005959DA" w14:paraId="3168E919" w14:textId="77777777" w:rsidTr="00B620C7">
        <w:tc>
          <w:tcPr>
            <w:tcW w:w="2130" w:type="dxa"/>
          </w:tcPr>
          <w:p w14:paraId="6A2376DE" w14:textId="1F1087FE" w:rsidR="00B620C7" w:rsidRDefault="00D702F3">
            <w:pPr>
              <w:rPr>
                <w:rFonts w:ascii="Arial" w:hAnsi="Arial" w:cs="Arial"/>
                <w:sz w:val="22"/>
                <w:szCs w:val="22"/>
              </w:rPr>
            </w:pPr>
            <w:r w:rsidRPr="005959DA">
              <w:rPr>
                <w:rFonts w:ascii="Arial" w:hAnsi="Arial" w:cs="Arial"/>
                <w:sz w:val="22"/>
                <w:szCs w:val="22"/>
              </w:rPr>
              <w:t>Upto £</w:t>
            </w:r>
            <w:r w:rsidR="00436D3F">
              <w:rPr>
                <w:rFonts w:ascii="Arial" w:hAnsi="Arial" w:cs="Arial"/>
                <w:sz w:val="22"/>
                <w:szCs w:val="22"/>
              </w:rPr>
              <w:t>3</w:t>
            </w:r>
            <w:r w:rsidRPr="005959DA">
              <w:rPr>
                <w:rFonts w:ascii="Arial" w:hAnsi="Arial" w:cs="Arial"/>
                <w:sz w:val="22"/>
                <w:szCs w:val="22"/>
              </w:rPr>
              <w:t>0,</w:t>
            </w:r>
            <w:r w:rsidR="00B620C7" w:rsidRPr="005959DA">
              <w:rPr>
                <w:rFonts w:ascii="Arial" w:hAnsi="Arial" w:cs="Arial"/>
                <w:sz w:val="22"/>
                <w:szCs w:val="22"/>
              </w:rPr>
              <w:t>000.00</w:t>
            </w:r>
            <w:r w:rsidR="00436D3F">
              <w:rPr>
                <w:rFonts w:ascii="Arial" w:hAnsi="Arial" w:cs="Arial"/>
                <w:sz w:val="22"/>
                <w:szCs w:val="22"/>
              </w:rPr>
              <w:t xml:space="preserve"> Incl</w:t>
            </w:r>
            <w:r w:rsidR="00C85310">
              <w:rPr>
                <w:rFonts w:ascii="Arial" w:hAnsi="Arial" w:cs="Arial"/>
                <w:sz w:val="22"/>
                <w:szCs w:val="22"/>
              </w:rPr>
              <w:t>uding</w:t>
            </w:r>
            <w:r w:rsidR="00436D3F">
              <w:rPr>
                <w:rFonts w:ascii="Arial" w:hAnsi="Arial" w:cs="Arial"/>
                <w:sz w:val="22"/>
                <w:szCs w:val="22"/>
              </w:rPr>
              <w:t xml:space="preserve"> of VAT</w:t>
            </w:r>
            <w:r w:rsidR="00B620C7" w:rsidRPr="005959DA">
              <w:rPr>
                <w:rFonts w:ascii="Arial" w:hAnsi="Arial" w:cs="Arial"/>
                <w:sz w:val="22"/>
                <w:szCs w:val="22"/>
              </w:rPr>
              <w:t xml:space="preserve"> </w:t>
            </w:r>
          </w:p>
          <w:p w14:paraId="774C66A6" w14:textId="56D9780E" w:rsidR="007F3BDB" w:rsidRPr="005959DA" w:rsidRDefault="007F3BDB">
            <w:pPr>
              <w:rPr>
                <w:rFonts w:ascii="Arial" w:hAnsi="Arial" w:cs="Arial"/>
                <w:sz w:val="22"/>
                <w:szCs w:val="22"/>
              </w:rPr>
            </w:pPr>
          </w:p>
        </w:tc>
        <w:tc>
          <w:tcPr>
            <w:tcW w:w="2130" w:type="dxa"/>
          </w:tcPr>
          <w:p w14:paraId="490ADB07" w14:textId="7C358987" w:rsidR="00B620C7" w:rsidRPr="005959DA" w:rsidRDefault="00B620C7" w:rsidP="00B620C7">
            <w:pPr>
              <w:rPr>
                <w:rFonts w:ascii="Arial" w:hAnsi="Arial" w:cs="Arial"/>
                <w:sz w:val="22"/>
                <w:szCs w:val="22"/>
              </w:rPr>
            </w:pPr>
            <w:r w:rsidRPr="005959DA">
              <w:rPr>
                <w:rFonts w:ascii="Arial" w:hAnsi="Arial" w:cs="Arial"/>
                <w:sz w:val="22"/>
                <w:szCs w:val="22"/>
              </w:rPr>
              <w:t>Upto</w:t>
            </w:r>
            <w:r w:rsidR="00D702F3" w:rsidRPr="005959DA">
              <w:rPr>
                <w:rFonts w:ascii="Arial" w:hAnsi="Arial" w:cs="Arial"/>
                <w:sz w:val="22"/>
                <w:szCs w:val="22"/>
              </w:rPr>
              <w:t xml:space="preserve"> £</w:t>
            </w:r>
            <w:r w:rsidR="00436D3F">
              <w:rPr>
                <w:rFonts w:ascii="Arial" w:hAnsi="Arial" w:cs="Arial"/>
                <w:sz w:val="22"/>
                <w:szCs w:val="22"/>
              </w:rPr>
              <w:t>3</w:t>
            </w:r>
            <w:r w:rsidR="00D702F3" w:rsidRPr="005959DA">
              <w:rPr>
                <w:rFonts w:ascii="Arial" w:hAnsi="Arial" w:cs="Arial"/>
                <w:sz w:val="22"/>
                <w:szCs w:val="22"/>
              </w:rPr>
              <w:t>0,</w:t>
            </w:r>
            <w:r w:rsidRPr="005959DA">
              <w:rPr>
                <w:rFonts w:ascii="Arial" w:hAnsi="Arial" w:cs="Arial"/>
                <w:sz w:val="22"/>
                <w:szCs w:val="22"/>
              </w:rPr>
              <w:t>000.00 in</w:t>
            </w:r>
            <w:r w:rsidR="00C85310">
              <w:rPr>
                <w:rFonts w:ascii="Arial" w:hAnsi="Arial" w:cs="Arial"/>
                <w:sz w:val="22"/>
                <w:szCs w:val="22"/>
              </w:rPr>
              <w:t>cluding</w:t>
            </w:r>
            <w:r w:rsidRPr="005959DA">
              <w:rPr>
                <w:rFonts w:ascii="Arial" w:hAnsi="Arial" w:cs="Arial"/>
                <w:sz w:val="22"/>
                <w:szCs w:val="22"/>
              </w:rPr>
              <w:t xml:space="preserve"> V</w:t>
            </w:r>
            <w:r w:rsidR="00C85310">
              <w:rPr>
                <w:rFonts w:ascii="Arial" w:hAnsi="Arial" w:cs="Arial"/>
                <w:sz w:val="22"/>
                <w:szCs w:val="22"/>
              </w:rPr>
              <w:t>AT</w:t>
            </w:r>
          </w:p>
          <w:p w14:paraId="40816499" w14:textId="77777777" w:rsidR="00B620C7" w:rsidRPr="005959DA" w:rsidRDefault="00B620C7">
            <w:pPr>
              <w:rPr>
                <w:rFonts w:ascii="Arial" w:hAnsi="Arial" w:cs="Arial"/>
                <w:sz w:val="22"/>
                <w:szCs w:val="22"/>
              </w:rPr>
            </w:pPr>
          </w:p>
        </w:tc>
        <w:tc>
          <w:tcPr>
            <w:tcW w:w="2131" w:type="dxa"/>
          </w:tcPr>
          <w:p w14:paraId="3EFD1F3E" w14:textId="688F165B" w:rsidR="00B620C7" w:rsidRPr="005959DA" w:rsidRDefault="00D702F3">
            <w:pPr>
              <w:rPr>
                <w:rFonts w:ascii="Arial" w:hAnsi="Arial" w:cs="Arial"/>
                <w:sz w:val="22"/>
                <w:szCs w:val="22"/>
              </w:rPr>
            </w:pPr>
            <w:r w:rsidRPr="005959DA">
              <w:rPr>
                <w:rFonts w:ascii="Arial" w:hAnsi="Arial" w:cs="Arial"/>
                <w:sz w:val="22"/>
                <w:szCs w:val="22"/>
              </w:rPr>
              <w:t>Upto £</w:t>
            </w:r>
            <w:r w:rsidR="00C85310">
              <w:rPr>
                <w:rFonts w:ascii="Arial" w:hAnsi="Arial" w:cs="Arial"/>
                <w:sz w:val="22"/>
                <w:szCs w:val="22"/>
              </w:rPr>
              <w:t>3</w:t>
            </w:r>
            <w:r w:rsidRPr="005959DA">
              <w:rPr>
                <w:rFonts w:ascii="Arial" w:hAnsi="Arial" w:cs="Arial"/>
                <w:sz w:val="22"/>
                <w:szCs w:val="22"/>
              </w:rPr>
              <w:t>0,</w:t>
            </w:r>
            <w:r w:rsidR="00B620C7" w:rsidRPr="005959DA">
              <w:rPr>
                <w:rFonts w:ascii="Arial" w:hAnsi="Arial" w:cs="Arial"/>
                <w:sz w:val="22"/>
                <w:szCs w:val="22"/>
              </w:rPr>
              <w:t>000.00 in</w:t>
            </w:r>
            <w:r w:rsidR="00C85310">
              <w:rPr>
                <w:rFonts w:ascii="Arial" w:hAnsi="Arial" w:cs="Arial"/>
                <w:sz w:val="22"/>
                <w:szCs w:val="22"/>
              </w:rPr>
              <w:t>cluding VAT</w:t>
            </w:r>
          </w:p>
        </w:tc>
        <w:tc>
          <w:tcPr>
            <w:tcW w:w="2131" w:type="dxa"/>
          </w:tcPr>
          <w:p w14:paraId="0FA46950" w14:textId="77777777" w:rsidR="00B620C7" w:rsidRPr="005959DA" w:rsidRDefault="00B620C7">
            <w:pPr>
              <w:rPr>
                <w:rFonts w:ascii="Arial" w:hAnsi="Arial" w:cs="Arial"/>
                <w:sz w:val="22"/>
                <w:szCs w:val="22"/>
              </w:rPr>
            </w:pPr>
            <w:r w:rsidRPr="005959DA">
              <w:rPr>
                <w:rFonts w:ascii="Arial" w:hAnsi="Arial" w:cs="Arial"/>
                <w:sz w:val="22"/>
                <w:szCs w:val="22"/>
              </w:rPr>
              <w:t>Minimum of 2 Written Quotations</w:t>
            </w:r>
          </w:p>
        </w:tc>
      </w:tr>
      <w:tr w:rsidR="00B620C7" w:rsidRPr="005959DA" w14:paraId="7FB054EC" w14:textId="77777777" w:rsidTr="00B620C7">
        <w:tc>
          <w:tcPr>
            <w:tcW w:w="2130" w:type="dxa"/>
          </w:tcPr>
          <w:p w14:paraId="63FB01F7" w14:textId="2C8CCA25" w:rsidR="003160D8" w:rsidRPr="005959DA" w:rsidRDefault="00D702F3" w:rsidP="00B620C7">
            <w:pPr>
              <w:rPr>
                <w:rFonts w:ascii="Arial" w:hAnsi="Arial" w:cs="Arial"/>
                <w:sz w:val="22"/>
                <w:szCs w:val="22"/>
              </w:rPr>
            </w:pPr>
            <w:r w:rsidRPr="005959DA">
              <w:rPr>
                <w:rFonts w:ascii="Arial" w:hAnsi="Arial" w:cs="Arial"/>
                <w:sz w:val="22"/>
                <w:szCs w:val="22"/>
              </w:rPr>
              <w:t>Above £</w:t>
            </w:r>
            <w:r w:rsidR="0002363F">
              <w:rPr>
                <w:rFonts w:ascii="Arial" w:hAnsi="Arial" w:cs="Arial"/>
                <w:sz w:val="22"/>
                <w:szCs w:val="22"/>
              </w:rPr>
              <w:t>3</w:t>
            </w:r>
            <w:r w:rsidRPr="005959DA">
              <w:rPr>
                <w:rFonts w:ascii="Arial" w:hAnsi="Arial" w:cs="Arial"/>
                <w:sz w:val="22"/>
                <w:szCs w:val="22"/>
              </w:rPr>
              <w:t xml:space="preserve">0,000.00 </w:t>
            </w:r>
            <w:r w:rsidR="003160D8" w:rsidRPr="005959DA">
              <w:rPr>
                <w:rFonts w:ascii="Arial" w:hAnsi="Arial" w:cs="Arial"/>
                <w:sz w:val="22"/>
                <w:szCs w:val="22"/>
              </w:rPr>
              <w:t xml:space="preserve"> </w:t>
            </w:r>
            <w:r w:rsidR="00260780">
              <w:rPr>
                <w:rFonts w:ascii="Arial" w:hAnsi="Arial" w:cs="Arial"/>
                <w:sz w:val="22"/>
                <w:szCs w:val="22"/>
              </w:rPr>
              <w:t>Upto</w:t>
            </w:r>
            <w:r w:rsidR="003160D8" w:rsidRPr="005959DA">
              <w:rPr>
                <w:rFonts w:ascii="Arial" w:hAnsi="Arial" w:cs="Arial"/>
                <w:sz w:val="22"/>
                <w:szCs w:val="22"/>
              </w:rPr>
              <w:t xml:space="preserve"> £5,</w:t>
            </w:r>
            <w:r w:rsidR="0038630F">
              <w:rPr>
                <w:rFonts w:ascii="Arial" w:hAnsi="Arial" w:cs="Arial"/>
                <w:sz w:val="22"/>
                <w:szCs w:val="22"/>
              </w:rPr>
              <w:t>193,000</w:t>
            </w:r>
            <w:r w:rsidR="003160D8" w:rsidRPr="005959DA">
              <w:rPr>
                <w:rFonts w:ascii="Arial" w:hAnsi="Arial" w:cs="Arial"/>
                <w:sz w:val="22"/>
                <w:szCs w:val="22"/>
              </w:rPr>
              <w:t xml:space="preserve"> incl</w:t>
            </w:r>
            <w:r w:rsidR="002C54AB" w:rsidRPr="005959DA">
              <w:rPr>
                <w:rFonts w:ascii="Arial" w:hAnsi="Arial" w:cs="Arial"/>
                <w:sz w:val="22"/>
                <w:szCs w:val="22"/>
              </w:rPr>
              <w:t>uding</w:t>
            </w:r>
            <w:r w:rsidR="003160D8" w:rsidRPr="005959DA">
              <w:rPr>
                <w:rFonts w:ascii="Arial" w:hAnsi="Arial" w:cs="Arial"/>
                <w:sz w:val="22"/>
                <w:szCs w:val="22"/>
              </w:rPr>
              <w:t xml:space="preserve"> </w:t>
            </w:r>
            <w:r w:rsidR="00881958">
              <w:rPr>
                <w:rFonts w:ascii="Arial" w:hAnsi="Arial" w:cs="Arial"/>
                <w:sz w:val="22"/>
                <w:szCs w:val="22"/>
              </w:rPr>
              <w:t>VAT</w:t>
            </w:r>
          </w:p>
          <w:p w14:paraId="788B0DAF" w14:textId="6E968F9F" w:rsidR="007F3BDB" w:rsidRPr="005959DA" w:rsidRDefault="007F3BDB">
            <w:pPr>
              <w:rPr>
                <w:rFonts w:ascii="Arial" w:hAnsi="Arial" w:cs="Arial"/>
                <w:sz w:val="22"/>
                <w:szCs w:val="22"/>
              </w:rPr>
            </w:pPr>
          </w:p>
        </w:tc>
        <w:tc>
          <w:tcPr>
            <w:tcW w:w="2130" w:type="dxa"/>
          </w:tcPr>
          <w:p w14:paraId="0998FC39" w14:textId="1861ACE7" w:rsidR="002C54AB" w:rsidRPr="005959DA" w:rsidRDefault="00D702F3" w:rsidP="00881958">
            <w:pPr>
              <w:rPr>
                <w:rFonts w:ascii="Arial" w:hAnsi="Arial" w:cs="Arial"/>
                <w:sz w:val="22"/>
                <w:szCs w:val="22"/>
              </w:rPr>
            </w:pPr>
            <w:r w:rsidRPr="005959DA">
              <w:rPr>
                <w:rFonts w:ascii="Arial" w:hAnsi="Arial" w:cs="Arial"/>
                <w:sz w:val="22"/>
                <w:szCs w:val="22"/>
              </w:rPr>
              <w:t>Above £</w:t>
            </w:r>
            <w:r w:rsidR="00260780">
              <w:rPr>
                <w:rFonts w:ascii="Arial" w:hAnsi="Arial" w:cs="Arial"/>
                <w:sz w:val="22"/>
                <w:szCs w:val="22"/>
              </w:rPr>
              <w:t>3</w:t>
            </w:r>
            <w:r w:rsidRPr="005959DA">
              <w:rPr>
                <w:rFonts w:ascii="Arial" w:hAnsi="Arial" w:cs="Arial"/>
                <w:sz w:val="22"/>
                <w:szCs w:val="22"/>
              </w:rPr>
              <w:t>0</w:t>
            </w:r>
            <w:r w:rsidR="00B620C7" w:rsidRPr="005959DA">
              <w:rPr>
                <w:rFonts w:ascii="Arial" w:hAnsi="Arial" w:cs="Arial"/>
                <w:sz w:val="22"/>
                <w:szCs w:val="22"/>
              </w:rPr>
              <w:t xml:space="preserve">,000.00 </w:t>
            </w:r>
            <w:r w:rsidR="00881958">
              <w:rPr>
                <w:rFonts w:ascii="Arial" w:hAnsi="Arial" w:cs="Arial"/>
                <w:sz w:val="22"/>
                <w:szCs w:val="22"/>
              </w:rPr>
              <w:t xml:space="preserve"> Upto </w:t>
            </w:r>
            <w:r w:rsidR="002C54AB" w:rsidRPr="005959DA">
              <w:rPr>
                <w:rFonts w:ascii="Arial" w:hAnsi="Arial" w:cs="Arial"/>
                <w:sz w:val="22"/>
                <w:szCs w:val="22"/>
              </w:rPr>
              <w:t>£</w:t>
            </w:r>
            <w:r w:rsidR="001D1CB3" w:rsidRPr="005959DA">
              <w:rPr>
                <w:rFonts w:ascii="Arial" w:hAnsi="Arial" w:cs="Arial"/>
                <w:sz w:val="22"/>
                <w:szCs w:val="22"/>
              </w:rPr>
              <w:t>2</w:t>
            </w:r>
            <w:r w:rsidR="0038630F">
              <w:rPr>
                <w:rFonts w:ascii="Arial" w:hAnsi="Arial" w:cs="Arial"/>
                <w:sz w:val="22"/>
                <w:szCs w:val="22"/>
              </w:rPr>
              <w:t>07,720</w:t>
            </w:r>
            <w:r w:rsidR="001D1CB3" w:rsidRPr="005959DA">
              <w:rPr>
                <w:rFonts w:ascii="Arial" w:hAnsi="Arial" w:cs="Arial"/>
                <w:sz w:val="22"/>
                <w:szCs w:val="22"/>
              </w:rPr>
              <w:t xml:space="preserve"> including </w:t>
            </w:r>
            <w:r w:rsidR="00881958">
              <w:rPr>
                <w:rFonts w:ascii="Arial" w:hAnsi="Arial" w:cs="Arial"/>
                <w:sz w:val="22"/>
                <w:szCs w:val="22"/>
              </w:rPr>
              <w:t>VAT</w:t>
            </w:r>
          </w:p>
        </w:tc>
        <w:tc>
          <w:tcPr>
            <w:tcW w:w="2131" w:type="dxa"/>
          </w:tcPr>
          <w:p w14:paraId="4D10BDBF" w14:textId="78EA0773" w:rsidR="001D1CB3" w:rsidRPr="005959DA" w:rsidRDefault="00D702F3" w:rsidP="00E145B5">
            <w:pPr>
              <w:rPr>
                <w:rFonts w:ascii="Arial" w:hAnsi="Arial" w:cs="Arial"/>
                <w:sz w:val="22"/>
                <w:szCs w:val="22"/>
              </w:rPr>
            </w:pPr>
            <w:r w:rsidRPr="005959DA">
              <w:rPr>
                <w:rFonts w:ascii="Arial" w:hAnsi="Arial" w:cs="Arial"/>
                <w:sz w:val="22"/>
                <w:szCs w:val="22"/>
              </w:rPr>
              <w:t>Above £</w:t>
            </w:r>
            <w:r w:rsidR="00CB7C00">
              <w:rPr>
                <w:rFonts w:ascii="Arial" w:hAnsi="Arial" w:cs="Arial"/>
                <w:sz w:val="22"/>
                <w:szCs w:val="22"/>
              </w:rPr>
              <w:t>3</w:t>
            </w:r>
            <w:r w:rsidRPr="005959DA">
              <w:rPr>
                <w:rFonts w:ascii="Arial" w:hAnsi="Arial" w:cs="Arial"/>
                <w:sz w:val="22"/>
                <w:szCs w:val="22"/>
              </w:rPr>
              <w:t>0</w:t>
            </w:r>
            <w:r w:rsidR="00B620C7" w:rsidRPr="005959DA">
              <w:rPr>
                <w:rFonts w:ascii="Arial" w:hAnsi="Arial" w:cs="Arial"/>
                <w:sz w:val="22"/>
                <w:szCs w:val="22"/>
              </w:rPr>
              <w:t xml:space="preserve">,000.00 upto </w:t>
            </w:r>
            <w:r w:rsidR="001D1CB3" w:rsidRPr="005959DA">
              <w:rPr>
                <w:rFonts w:ascii="Arial" w:hAnsi="Arial" w:cs="Arial"/>
                <w:sz w:val="22"/>
                <w:szCs w:val="22"/>
              </w:rPr>
              <w:t>£</w:t>
            </w:r>
            <w:r w:rsidR="007C60BE" w:rsidRPr="005959DA">
              <w:rPr>
                <w:rFonts w:ascii="Arial" w:hAnsi="Arial" w:cs="Arial"/>
                <w:sz w:val="22"/>
                <w:szCs w:val="22"/>
              </w:rPr>
              <w:t xml:space="preserve">663,540 including </w:t>
            </w:r>
            <w:r w:rsidR="00E145B5">
              <w:rPr>
                <w:rFonts w:ascii="Arial" w:hAnsi="Arial" w:cs="Arial"/>
                <w:sz w:val="22"/>
                <w:szCs w:val="22"/>
              </w:rPr>
              <w:t>VAT</w:t>
            </w:r>
          </w:p>
        </w:tc>
        <w:tc>
          <w:tcPr>
            <w:tcW w:w="2131" w:type="dxa"/>
          </w:tcPr>
          <w:p w14:paraId="164C1438" w14:textId="1A1360CE" w:rsidR="00B620C7" w:rsidRPr="005959DA" w:rsidRDefault="00B620C7">
            <w:pPr>
              <w:rPr>
                <w:rFonts w:ascii="Arial" w:hAnsi="Arial" w:cs="Arial"/>
                <w:sz w:val="22"/>
                <w:szCs w:val="22"/>
              </w:rPr>
            </w:pPr>
            <w:r w:rsidRPr="005959DA">
              <w:rPr>
                <w:rFonts w:ascii="Arial" w:hAnsi="Arial" w:cs="Arial"/>
                <w:sz w:val="22"/>
                <w:szCs w:val="22"/>
              </w:rPr>
              <w:t xml:space="preserve">Minimum of 3 </w:t>
            </w:r>
            <w:r w:rsidR="00344CDB" w:rsidRPr="005959DA">
              <w:rPr>
                <w:rFonts w:ascii="Arial" w:hAnsi="Arial" w:cs="Arial"/>
                <w:sz w:val="22"/>
                <w:szCs w:val="22"/>
              </w:rPr>
              <w:t>Invitations to Quote / Tender to be issued</w:t>
            </w:r>
            <w:r w:rsidR="00DD17B5" w:rsidRPr="005959DA">
              <w:rPr>
                <w:rFonts w:ascii="Arial" w:hAnsi="Arial" w:cs="Arial"/>
                <w:sz w:val="22"/>
                <w:szCs w:val="22"/>
              </w:rPr>
              <w:t xml:space="preserve"> on the Council’s electronic opportunities portal</w:t>
            </w:r>
          </w:p>
        </w:tc>
      </w:tr>
      <w:tr w:rsidR="00B620C7" w:rsidRPr="005959DA" w14:paraId="502E4E69" w14:textId="77777777" w:rsidTr="00B620C7">
        <w:tc>
          <w:tcPr>
            <w:tcW w:w="2130" w:type="dxa"/>
          </w:tcPr>
          <w:p w14:paraId="4576A0F7" w14:textId="5D00B157" w:rsidR="00B620C7" w:rsidRPr="005959DA" w:rsidRDefault="007C60BE" w:rsidP="009717ED">
            <w:pPr>
              <w:rPr>
                <w:rFonts w:ascii="Arial" w:hAnsi="Arial" w:cs="Arial"/>
                <w:sz w:val="22"/>
                <w:szCs w:val="22"/>
              </w:rPr>
            </w:pPr>
            <w:r w:rsidRPr="005959DA">
              <w:rPr>
                <w:rFonts w:ascii="Arial" w:hAnsi="Arial" w:cs="Arial"/>
                <w:sz w:val="22"/>
                <w:szCs w:val="22"/>
              </w:rPr>
              <w:t>Above £5,</w:t>
            </w:r>
            <w:r w:rsidR="00224DFD">
              <w:rPr>
                <w:rFonts w:ascii="Arial" w:hAnsi="Arial" w:cs="Arial"/>
                <w:sz w:val="22"/>
                <w:szCs w:val="22"/>
              </w:rPr>
              <w:t>193,000</w:t>
            </w:r>
            <w:r w:rsidRPr="005959DA">
              <w:rPr>
                <w:rFonts w:ascii="Arial" w:hAnsi="Arial" w:cs="Arial"/>
                <w:sz w:val="22"/>
                <w:szCs w:val="22"/>
              </w:rPr>
              <w:t xml:space="preserve"> including </w:t>
            </w:r>
            <w:r w:rsidR="009717ED">
              <w:rPr>
                <w:rFonts w:ascii="Arial" w:hAnsi="Arial" w:cs="Arial"/>
                <w:sz w:val="22"/>
                <w:szCs w:val="22"/>
              </w:rPr>
              <w:t>VAT</w:t>
            </w:r>
            <w:r w:rsidRPr="005959DA">
              <w:rPr>
                <w:rFonts w:ascii="Arial" w:hAnsi="Arial" w:cs="Arial"/>
                <w:sz w:val="22"/>
                <w:szCs w:val="22"/>
              </w:rPr>
              <w:t>.</w:t>
            </w:r>
          </w:p>
        </w:tc>
        <w:tc>
          <w:tcPr>
            <w:tcW w:w="2130" w:type="dxa"/>
          </w:tcPr>
          <w:p w14:paraId="730A03C9" w14:textId="45BDC643" w:rsidR="00B620C7" w:rsidRPr="005959DA" w:rsidRDefault="00362F54" w:rsidP="009717ED">
            <w:pPr>
              <w:rPr>
                <w:rFonts w:ascii="Arial" w:hAnsi="Arial" w:cs="Arial"/>
                <w:sz w:val="22"/>
                <w:szCs w:val="22"/>
              </w:rPr>
            </w:pPr>
            <w:r w:rsidRPr="005959DA">
              <w:rPr>
                <w:rFonts w:ascii="Arial" w:hAnsi="Arial" w:cs="Arial"/>
                <w:sz w:val="22"/>
                <w:szCs w:val="22"/>
              </w:rPr>
              <w:t>Above £2</w:t>
            </w:r>
            <w:r w:rsidR="00224DFD">
              <w:rPr>
                <w:rFonts w:ascii="Arial" w:hAnsi="Arial" w:cs="Arial"/>
                <w:sz w:val="22"/>
                <w:szCs w:val="22"/>
              </w:rPr>
              <w:t>07,720</w:t>
            </w:r>
            <w:r w:rsidRPr="005959DA">
              <w:rPr>
                <w:rFonts w:ascii="Arial" w:hAnsi="Arial" w:cs="Arial"/>
                <w:sz w:val="22"/>
                <w:szCs w:val="22"/>
              </w:rPr>
              <w:t xml:space="preserve"> including </w:t>
            </w:r>
            <w:r w:rsidR="009717ED">
              <w:rPr>
                <w:rFonts w:ascii="Arial" w:hAnsi="Arial" w:cs="Arial"/>
                <w:sz w:val="22"/>
                <w:szCs w:val="22"/>
              </w:rPr>
              <w:t>VAT</w:t>
            </w:r>
          </w:p>
        </w:tc>
        <w:tc>
          <w:tcPr>
            <w:tcW w:w="2131" w:type="dxa"/>
          </w:tcPr>
          <w:p w14:paraId="624030FA" w14:textId="543DEF4E" w:rsidR="00B620C7" w:rsidRPr="005959DA" w:rsidRDefault="00362F54" w:rsidP="009717ED">
            <w:pPr>
              <w:rPr>
                <w:rFonts w:ascii="Arial" w:hAnsi="Arial" w:cs="Arial"/>
                <w:sz w:val="22"/>
                <w:szCs w:val="22"/>
              </w:rPr>
            </w:pPr>
            <w:r w:rsidRPr="005959DA">
              <w:rPr>
                <w:rFonts w:ascii="Arial" w:hAnsi="Arial" w:cs="Arial"/>
                <w:sz w:val="22"/>
                <w:szCs w:val="22"/>
              </w:rPr>
              <w:t xml:space="preserve">Above £663,540 including </w:t>
            </w:r>
            <w:r w:rsidR="009717ED">
              <w:rPr>
                <w:rFonts w:ascii="Arial" w:hAnsi="Arial" w:cs="Arial"/>
                <w:sz w:val="22"/>
                <w:szCs w:val="22"/>
              </w:rPr>
              <w:t>VAT</w:t>
            </w:r>
          </w:p>
        </w:tc>
        <w:tc>
          <w:tcPr>
            <w:tcW w:w="2131" w:type="dxa"/>
          </w:tcPr>
          <w:p w14:paraId="4C902027" w14:textId="6CD072A4" w:rsidR="00B620C7" w:rsidRPr="005959DA" w:rsidRDefault="00B620C7">
            <w:pPr>
              <w:rPr>
                <w:rFonts w:ascii="Arial" w:hAnsi="Arial" w:cs="Arial"/>
                <w:sz w:val="22"/>
                <w:szCs w:val="22"/>
              </w:rPr>
            </w:pPr>
            <w:r w:rsidRPr="005959DA">
              <w:rPr>
                <w:rFonts w:ascii="Arial" w:hAnsi="Arial" w:cs="Arial"/>
                <w:sz w:val="22"/>
                <w:szCs w:val="22"/>
              </w:rPr>
              <w:t xml:space="preserve">Invitation to Tender </w:t>
            </w:r>
            <w:r w:rsidR="00DD17B5" w:rsidRPr="005959DA">
              <w:rPr>
                <w:rFonts w:ascii="Arial" w:hAnsi="Arial" w:cs="Arial"/>
                <w:sz w:val="22"/>
                <w:szCs w:val="22"/>
              </w:rPr>
              <w:t xml:space="preserve">issued on the Council’s electronic opportunities portal and advertised </w:t>
            </w:r>
            <w:r w:rsidRPr="005959DA">
              <w:rPr>
                <w:rFonts w:ascii="Arial" w:hAnsi="Arial" w:cs="Arial"/>
                <w:sz w:val="22"/>
                <w:szCs w:val="22"/>
              </w:rPr>
              <w:t xml:space="preserve">via the </w:t>
            </w:r>
            <w:r w:rsidR="00DD778D" w:rsidRPr="005959DA">
              <w:rPr>
                <w:rFonts w:ascii="Arial" w:hAnsi="Arial" w:cs="Arial"/>
                <w:sz w:val="22"/>
                <w:szCs w:val="22"/>
              </w:rPr>
              <w:t xml:space="preserve">Government’s </w:t>
            </w:r>
            <w:r w:rsidR="00E54B35">
              <w:rPr>
                <w:rFonts w:ascii="Arial" w:hAnsi="Arial" w:cs="Arial"/>
                <w:sz w:val="22"/>
                <w:szCs w:val="22"/>
              </w:rPr>
              <w:t>Central Digital Platform (CDP</w:t>
            </w:r>
          </w:p>
        </w:tc>
      </w:tr>
    </w:tbl>
    <w:p w14:paraId="1B82EE9C" w14:textId="77777777" w:rsidR="00B620C7" w:rsidRPr="005959DA" w:rsidRDefault="00B620C7">
      <w:pPr>
        <w:rPr>
          <w:rFonts w:ascii="Arial" w:hAnsi="Arial" w:cs="Arial"/>
          <w:sz w:val="22"/>
          <w:szCs w:val="22"/>
        </w:rPr>
      </w:pPr>
    </w:p>
    <w:p w14:paraId="09088FB2" w14:textId="4A9DF780" w:rsidR="00B620C7" w:rsidRPr="00D702F3" w:rsidRDefault="00D702F3">
      <w:pPr>
        <w:rPr>
          <w:rFonts w:ascii="Arial" w:hAnsi="Arial" w:cs="Arial"/>
          <w:i/>
          <w:sz w:val="22"/>
          <w:szCs w:val="22"/>
        </w:rPr>
      </w:pPr>
      <w:r w:rsidRPr="005959DA">
        <w:rPr>
          <w:rFonts w:ascii="Arial" w:hAnsi="Arial" w:cs="Arial"/>
          <w:i/>
          <w:sz w:val="22"/>
          <w:szCs w:val="22"/>
        </w:rPr>
        <w:t>(spend thresholds correct as at J</w:t>
      </w:r>
      <w:r w:rsidR="005959DA" w:rsidRPr="005959DA">
        <w:rPr>
          <w:rFonts w:ascii="Arial" w:hAnsi="Arial" w:cs="Arial"/>
          <w:i/>
          <w:sz w:val="22"/>
          <w:szCs w:val="22"/>
        </w:rPr>
        <w:t>anuary 20</w:t>
      </w:r>
      <w:r w:rsidR="00EF0B20">
        <w:rPr>
          <w:rFonts w:ascii="Arial" w:hAnsi="Arial" w:cs="Arial"/>
          <w:i/>
          <w:sz w:val="22"/>
          <w:szCs w:val="22"/>
        </w:rPr>
        <w:t>2</w:t>
      </w:r>
      <w:r w:rsidR="00813430">
        <w:rPr>
          <w:rFonts w:ascii="Arial" w:hAnsi="Arial" w:cs="Arial"/>
          <w:i/>
          <w:sz w:val="22"/>
          <w:szCs w:val="22"/>
        </w:rPr>
        <w:t>6</w:t>
      </w:r>
      <w:r w:rsidRPr="005959DA">
        <w:rPr>
          <w:rFonts w:ascii="Arial" w:hAnsi="Arial" w:cs="Arial"/>
          <w:i/>
          <w:sz w:val="22"/>
          <w:szCs w:val="22"/>
        </w:rPr>
        <w:t>)</w:t>
      </w:r>
    </w:p>
    <w:p w14:paraId="287D5BE8" w14:textId="77777777" w:rsidR="00B620C7" w:rsidRDefault="00B620C7">
      <w:pPr>
        <w:rPr>
          <w:rFonts w:ascii="Arial" w:hAnsi="Arial" w:cs="Arial"/>
          <w:sz w:val="22"/>
          <w:szCs w:val="22"/>
        </w:rPr>
      </w:pPr>
    </w:p>
    <w:p w14:paraId="6C3BAE9E" w14:textId="77777777" w:rsidR="00D702F3" w:rsidRDefault="00D702F3" w:rsidP="00B620C7">
      <w:pPr>
        <w:rPr>
          <w:rFonts w:ascii="Arial" w:hAnsi="Arial" w:cs="Arial"/>
          <w:sz w:val="22"/>
          <w:szCs w:val="22"/>
        </w:rPr>
      </w:pPr>
    </w:p>
    <w:p w14:paraId="43F8F176" w14:textId="09FB8213" w:rsidR="00BE6D61" w:rsidRDefault="00B620C7" w:rsidP="00B620C7">
      <w:pPr>
        <w:rPr>
          <w:rFonts w:ascii="Arial" w:hAnsi="Arial" w:cs="Arial"/>
          <w:color w:val="0B0C0C"/>
          <w:sz w:val="22"/>
          <w:szCs w:val="22"/>
          <w:shd w:val="clear" w:color="auto" w:fill="FFFFFF"/>
        </w:rPr>
      </w:pPr>
      <w:r>
        <w:rPr>
          <w:rFonts w:ascii="Arial" w:hAnsi="Arial" w:cs="Arial"/>
          <w:sz w:val="22"/>
          <w:szCs w:val="22"/>
        </w:rPr>
        <w:t>The ‘Light Touch Regime’</w:t>
      </w:r>
      <w:r w:rsidR="000B4721" w:rsidRPr="00A95D6D">
        <w:rPr>
          <w:rFonts w:ascii="Arial" w:hAnsi="Arial" w:cs="Arial"/>
          <w:sz w:val="22"/>
          <w:szCs w:val="22"/>
        </w:rPr>
        <w:t xml:space="preserve"> </w:t>
      </w:r>
      <w:r>
        <w:rPr>
          <w:rFonts w:ascii="Arial" w:hAnsi="Arial" w:cs="Arial"/>
          <w:sz w:val="22"/>
          <w:szCs w:val="22"/>
        </w:rPr>
        <w:t xml:space="preserve">refers to </w:t>
      </w:r>
      <w:r w:rsidR="00BE6D61" w:rsidRPr="00BE6D61">
        <w:rPr>
          <w:rFonts w:ascii="Arial" w:hAnsi="Arial" w:cs="Arial"/>
          <w:color w:val="0B0C0C"/>
          <w:sz w:val="29"/>
          <w:szCs w:val="29"/>
          <w:shd w:val="clear" w:color="auto" w:fill="FFFFFF"/>
        </w:rPr>
        <w:t xml:space="preserve"> </w:t>
      </w:r>
      <w:r w:rsidR="00BE6D61" w:rsidRPr="00CB7C00">
        <w:rPr>
          <w:rFonts w:ascii="Arial" w:hAnsi="Arial" w:cs="Arial"/>
          <w:color w:val="0B0C0C"/>
          <w:sz w:val="22"/>
          <w:szCs w:val="22"/>
          <w:shd w:val="clear" w:color="auto" w:fill="FFFFFF"/>
        </w:rPr>
        <w:t>contracts for certain social, health, education and other public services and are subject to more flexible procurement rules. One thing these services have in common is that they are services provided directly to individuals or groups of people and therefore warrant special treatment and greater flexibility.</w:t>
      </w:r>
    </w:p>
    <w:p w14:paraId="6CA8434F" w14:textId="3593E464" w:rsidR="00BE6D61" w:rsidRPr="00860671" w:rsidRDefault="00BE6D61" w:rsidP="00BE6D61">
      <w:pPr>
        <w:shd w:val="clear" w:color="auto" w:fill="FFFFFF"/>
        <w:spacing w:after="300"/>
        <w:rPr>
          <w:rFonts w:ascii="Arial" w:hAnsi="Arial" w:cs="Arial"/>
          <w:color w:val="0B0C0C"/>
          <w:sz w:val="22"/>
          <w:szCs w:val="22"/>
        </w:rPr>
      </w:pPr>
      <w:r w:rsidRPr="00860671">
        <w:rPr>
          <w:rFonts w:ascii="Arial" w:hAnsi="Arial" w:cs="Arial"/>
          <w:color w:val="0B0C0C"/>
          <w:sz w:val="22"/>
          <w:szCs w:val="22"/>
        </w:rPr>
        <w:t>Section 9 (Light touch contracts) of the Procurement Act 2023 defines a ‘light touch contract’ and provides for regulations to specify which services (referred to in the regulations as ‘light touch services’) can be procured under a light touch contract.</w:t>
      </w:r>
    </w:p>
    <w:p w14:paraId="0E2B14A7" w14:textId="366A2880" w:rsidR="00BE6D61" w:rsidRPr="00860671" w:rsidRDefault="00BE6D61" w:rsidP="00BE6D61">
      <w:pPr>
        <w:shd w:val="clear" w:color="auto" w:fill="FFFFFF"/>
        <w:spacing w:after="300"/>
        <w:rPr>
          <w:rFonts w:ascii="Arial" w:hAnsi="Arial" w:cs="Arial"/>
          <w:color w:val="0B0C0C"/>
          <w:sz w:val="22"/>
          <w:szCs w:val="22"/>
        </w:rPr>
      </w:pPr>
      <w:r w:rsidRPr="00860671">
        <w:rPr>
          <w:rFonts w:ascii="Arial" w:hAnsi="Arial" w:cs="Arial"/>
          <w:color w:val="0B0C0C"/>
          <w:sz w:val="22"/>
          <w:szCs w:val="22"/>
        </w:rPr>
        <w:t>Schedule 1 to the Procurement Regulations 2024 (the Regulations) specifies which services are light touch services by description and reference to corresponding Common Procurement Vocabulary (CPV) codes. Light touch contracts (that are not exempted contracts) are public contracts if they are above the relevant threshold in Schedule 1 of the Act for the type of contract.</w:t>
      </w:r>
    </w:p>
    <w:p w14:paraId="4220A32D" w14:textId="77777777" w:rsidR="00B620C7" w:rsidRPr="00BE6D61" w:rsidRDefault="00B620C7" w:rsidP="00B620C7">
      <w:pPr>
        <w:rPr>
          <w:rFonts w:ascii="Arial" w:hAnsi="Arial" w:cs="Arial"/>
          <w:sz w:val="22"/>
          <w:szCs w:val="22"/>
        </w:rPr>
      </w:pPr>
    </w:p>
    <w:p w14:paraId="7920D900" w14:textId="77777777" w:rsidR="00B620C7" w:rsidRPr="00BE6D61" w:rsidRDefault="00B620C7" w:rsidP="00B620C7">
      <w:pPr>
        <w:rPr>
          <w:rFonts w:ascii="Arial" w:hAnsi="Arial" w:cs="Arial"/>
          <w:sz w:val="22"/>
          <w:szCs w:val="22"/>
        </w:rPr>
      </w:pPr>
    </w:p>
    <w:p w14:paraId="2EBF5F38" w14:textId="77777777" w:rsidR="000B4721" w:rsidRPr="00A95D6D" w:rsidRDefault="000B4721">
      <w:pPr>
        <w:rPr>
          <w:rFonts w:ascii="Arial" w:hAnsi="Arial" w:cs="Arial"/>
          <w:sz w:val="22"/>
          <w:szCs w:val="22"/>
        </w:rPr>
      </w:pPr>
    </w:p>
    <w:p w14:paraId="6D53F9D0" w14:textId="43ED298C" w:rsidR="000B4721" w:rsidRPr="00B557BE" w:rsidRDefault="000B4721" w:rsidP="00B557BE">
      <w:pPr>
        <w:rPr>
          <w:rFonts w:ascii="Arial" w:hAnsi="Arial" w:cs="Arial"/>
          <w:sz w:val="22"/>
          <w:szCs w:val="22"/>
          <w:u w:val="single"/>
        </w:rPr>
      </w:pPr>
      <w:r w:rsidRPr="00A95D6D">
        <w:rPr>
          <w:rFonts w:ascii="Arial" w:hAnsi="Arial" w:cs="Arial"/>
          <w:sz w:val="22"/>
          <w:szCs w:val="22"/>
          <w:u w:val="single"/>
        </w:rPr>
        <w:t xml:space="preserve">2.2 </w:t>
      </w:r>
      <w:r w:rsidR="0090611B" w:rsidRPr="0090611B">
        <w:rPr>
          <w:rFonts w:ascii="Arial" w:hAnsi="Arial" w:cs="Arial"/>
          <w:sz w:val="22"/>
          <w:szCs w:val="22"/>
          <w:u w:val="single"/>
        </w:rPr>
        <w:t xml:space="preserve">The </w:t>
      </w:r>
      <w:r w:rsidR="00EC7173">
        <w:rPr>
          <w:rFonts w:ascii="Arial" w:hAnsi="Arial" w:cs="Arial"/>
          <w:sz w:val="22"/>
          <w:szCs w:val="22"/>
          <w:u w:val="single"/>
        </w:rPr>
        <w:t>Procurement Act 2023</w:t>
      </w:r>
    </w:p>
    <w:p w14:paraId="49A3851E" w14:textId="77777777" w:rsidR="000B4721" w:rsidRPr="00A95D6D" w:rsidRDefault="000B4721">
      <w:pPr>
        <w:outlineLvl w:val="0"/>
        <w:rPr>
          <w:rFonts w:ascii="Arial" w:hAnsi="Arial" w:cs="Arial"/>
          <w:sz w:val="22"/>
          <w:szCs w:val="22"/>
        </w:rPr>
      </w:pPr>
    </w:p>
    <w:p w14:paraId="2136A0C0" w14:textId="3773A015" w:rsidR="000B4721" w:rsidRPr="00397C46" w:rsidRDefault="00721F3F">
      <w:pPr>
        <w:rPr>
          <w:rFonts w:ascii="Arial" w:hAnsi="Arial" w:cs="Arial"/>
          <w:sz w:val="22"/>
          <w:szCs w:val="22"/>
        </w:rPr>
      </w:pPr>
      <w:r w:rsidRPr="00397C46">
        <w:rPr>
          <w:rFonts w:ascii="Arial" w:hAnsi="Arial" w:cs="Arial"/>
          <w:sz w:val="22"/>
          <w:szCs w:val="22"/>
        </w:rPr>
        <w:t xml:space="preserve">The </w:t>
      </w:r>
      <w:r w:rsidR="00EC7173">
        <w:rPr>
          <w:rFonts w:ascii="Arial" w:hAnsi="Arial" w:cs="Arial"/>
          <w:sz w:val="22"/>
          <w:szCs w:val="22"/>
        </w:rPr>
        <w:t xml:space="preserve">Procurement Act 2023 </w:t>
      </w:r>
      <w:r w:rsidRPr="00397C46">
        <w:rPr>
          <w:rFonts w:ascii="Arial" w:hAnsi="Arial" w:cs="Arial"/>
          <w:sz w:val="22"/>
          <w:szCs w:val="22"/>
        </w:rPr>
        <w:t>require all requirements</w:t>
      </w:r>
      <w:r w:rsidR="003C305D" w:rsidRPr="00397C46">
        <w:rPr>
          <w:rFonts w:ascii="Arial" w:hAnsi="Arial" w:cs="Arial"/>
          <w:sz w:val="22"/>
          <w:szCs w:val="22"/>
        </w:rPr>
        <w:t xml:space="preserve"> that exceed the applicable spend threshold</w:t>
      </w:r>
      <w:r w:rsidR="00D51C5F" w:rsidRPr="00397C46">
        <w:rPr>
          <w:rFonts w:ascii="Arial" w:hAnsi="Arial" w:cs="Arial"/>
          <w:sz w:val="22"/>
          <w:szCs w:val="22"/>
        </w:rPr>
        <w:t xml:space="preserve"> to b</w:t>
      </w:r>
      <w:r w:rsidR="00BA40E7">
        <w:rPr>
          <w:rFonts w:ascii="Arial" w:hAnsi="Arial" w:cs="Arial"/>
          <w:sz w:val="22"/>
          <w:szCs w:val="22"/>
        </w:rPr>
        <w:t>e publ</w:t>
      </w:r>
      <w:r w:rsidR="008D28BE">
        <w:rPr>
          <w:rFonts w:ascii="Arial" w:hAnsi="Arial" w:cs="Arial"/>
          <w:sz w:val="22"/>
          <w:szCs w:val="22"/>
        </w:rPr>
        <w:t>i</w:t>
      </w:r>
      <w:r w:rsidR="009C37B7">
        <w:rPr>
          <w:rFonts w:ascii="Arial" w:hAnsi="Arial" w:cs="Arial"/>
          <w:sz w:val="22"/>
          <w:szCs w:val="22"/>
        </w:rPr>
        <w:t>s</w:t>
      </w:r>
      <w:r w:rsidR="00BA40E7">
        <w:rPr>
          <w:rFonts w:ascii="Arial" w:hAnsi="Arial" w:cs="Arial"/>
          <w:sz w:val="22"/>
          <w:szCs w:val="22"/>
        </w:rPr>
        <w:t>hed on the Central Digital Platform (CDP)</w:t>
      </w:r>
      <w:r w:rsidR="007422CD" w:rsidRPr="00DF4D57">
        <w:rPr>
          <w:rFonts w:ascii="Arial" w:hAnsi="Arial" w:cs="Arial"/>
          <w:sz w:val="22"/>
          <w:szCs w:val="22"/>
        </w:rPr>
        <w:t xml:space="preserve">. </w:t>
      </w:r>
      <w:r w:rsidR="007422CD" w:rsidRPr="00CB7C00">
        <w:rPr>
          <w:rFonts w:ascii="Arial" w:hAnsi="Arial" w:cs="Arial"/>
          <w:sz w:val="22"/>
          <w:szCs w:val="22"/>
        </w:rPr>
        <w:t xml:space="preserve">Since the UK’s exit from the European Union, this publication </w:t>
      </w:r>
      <w:r w:rsidR="00F44290" w:rsidRPr="00CB7C00">
        <w:rPr>
          <w:rFonts w:ascii="Arial" w:hAnsi="Arial" w:cs="Arial"/>
          <w:sz w:val="22"/>
          <w:szCs w:val="22"/>
        </w:rPr>
        <w:t>is now used in place of</w:t>
      </w:r>
      <w:r w:rsidR="007422CD" w:rsidRPr="00CB7C00">
        <w:rPr>
          <w:rFonts w:ascii="Arial" w:hAnsi="Arial" w:cs="Arial"/>
          <w:sz w:val="22"/>
          <w:szCs w:val="22"/>
        </w:rPr>
        <w:t xml:space="preserve"> the Official Journal of the</w:t>
      </w:r>
      <w:r w:rsidR="00F44290" w:rsidRPr="00CB7C00">
        <w:rPr>
          <w:rFonts w:ascii="Arial" w:hAnsi="Arial" w:cs="Arial"/>
          <w:sz w:val="22"/>
          <w:szCs w:val="22"/>
        </w:rPr>
        <w:t xml:space="preserve"> European Union (OJEU)</w:t>
      </w:r>
      <w:r w:rsidR="000A3C04" w:rsidRPr="00CB7C00">
        <w:rPr>
          <w:rFonts w:ascii="Arial" w:hAnsi="Arial" w:cs="Arial"/>
          <w:sz w:val="22"/>
          <w:szCs w:val="22"/>
        </w:rPr>
        <w:t xml:space="preserve"> within the UK.</w:t>
      </w:r>
    </w:p>
    <w:p w14:paraId="400CF50F" w14:textId="112C43A0" w:rsidR="000B4721" w:rsidRPr="00397C46" w:rsidRDefault="000B4721">
      <w:pPr>
        <w:rPr>
          <w:rFonts w:ascii="Arial" w:hAnsi="Arial" w:cs="Arial"/>
          <w:sz w:val="22"/>
          <w:szCs w:val="22"/>
        </w:rPr>
      </w:pPr>
      <w:r w:rsidRPr="00397C46">
        <w:rPr>
          <w:rFonts w:ascii="Arial" w:hAnsi="Arial" w:cs="Arial"/>
          <w:sz w:val="22"/>
          <w:szCs w:val="22"/>
        </w:rPr>
        <w:lastRenderedPageBreak/>
        <w:t>All Authorities in the United Kingdom are require</w:t>
      </w:r>
      <w:r w:rsidR="0090611B" w:rsidRPr="00397C46">
        <w:rPr>
          <w:rFonts w:ascii="Arial" w:hAnsi="Arial" w:cs="Arial"/>
          <w:sz w:val="22"/>
          <w:szCs w:val="22"/>
        </w:rPr>
        <w:t>d by law to comply with the</w:t>
      </w:r>
      <w:r w:rsidRPr="00397C46">
        <w:rPr>
          <w:rFonts w:ascii="Arial" w:hAnsi="Arial" w:cs="Arial"/>
          <w:sz w:val="22"/>
          <w:szCs w:val="22"/>
        </w:rPr>
        <w:t xml:space="preserve"> </w:t>
      </w:r>
      <w:r w:rsidR="004B6AC3">
        <w:rPr>
          <w:rFonts w:ascii="Arial" w:hAnsi="Arial" w:cs="Arial"/>
          <w:sz w:val="22"/>
          <w:szCs w:val="22"/>
        </w:rPr>
        <w:t>The Procurement Act 2023.</w:t>
      </w:r>
    </w:p>
    <w:p w14:paraId="4C221A23" w14:textId="77777777" w:rsidR="000B4721" w:rsidRPr="00A95D6D" w:rsidRDefault="000B4721">
      <w:pPr>
        <w:pStyle w:val="Heading4"/>
        <w:rPr>
          <w:rFonts w:ascii="Arial" w:hAnsi="Arial" w:cs="Arial"/>
          <w:sz w:val="22"/>
          <w:szCs w:val="22"/>
          <w:u w:val="none"/>
        </w:rPr>
      </w:pPr>
    </w:p>
    <w:p w14:paraId="53519AD0" w14:textId="77777777" w:rsidR="000B4721" w:rsidRPr="00A95D6D" w:rsidRDefault="000B4721">
      <w:pPr>
        <w:pStyle w:val="Heading4"/>
        <w:rPr>
          <w:rFonts w:ascii="Arial" w:hAnsi="Arial" w:cs="Arial"/>
          <w:sz w:val="22"/>
          <w:szCs w:val="22"/>
          <w:u w:val="none"/>
        </w:rPr>
      </w:pPr>
    </w:p>
    <w:p w14:paraId="7CACFF31" w14:textId="77777777" w:rsidR="0090611B" w:rsidRDefault="0090611B">
      <w:pPr>
        <w:pStyle w:val="Heading4"/>
        <w:rPr>
          <w:rFonts w:ascii="Arial" w:hAnsi="Arial" w:cs="Arial"/>
          <w:b/>
          <w:sz w:val="22"/>
          <w:szCs w:val="22"/>
        </w:rPr>
      </w:pPr>
    </w:p>
    <w:p w14:paraId="13C6EEA5" w14:textId="77777777" w:rsidR="0090611B" w:rsidRDefault="0090611B">
      <w:pPr>
        <w:pStyle w:val="Heading4"/>
        <w:rPr>
          <w:rFonts w:ascii="Arial" w:hAnsi="Arial" w:cs="Arial"/>
          <w:b/>
          <w:sz w:val="22"/>
          <w:szCs w:val="22"/>
        </w:rPr>
      </w:pPr>
    </w:p>
    <w:p w14:paraId="07648F38" w14:textId="77777777" w:rsidR="00462547" w:rsidRDefault="00462547" w:rsidP="000A3C04">
      <w:pPr>
        <w:rPr>
          <w:rFonts w:ascii="Arial" w:hAnsi="Arial" w:cs="Arial"/>
          <w:b/>
          <w:sz w:val="22"/>
          <w:szCs w:val="22"/>
        </w:rPr>
      </w:pPr>
    </w:p>
    <w:p w14:paraId="7BC1DD70" w14:textId="13FDDD15" w:rsidR="000B4721" w:rsidRPr="000A3C04" w:rsidRDefault="000B4721" w:rsidP="000A3C04">
      <w:pPr>
        <w:rPr>
          <w:rFonts w:ascii="Arial" w:hAnsi="Arial" w:cs="Arial"/>
          <w:b/>
          <w:sz w:val="22"/>
          <w:szCs w:val="22"/>
          <w:u w:val="single"/>
        </w:rPr>
      </w:pPr>
      <w:r w:rsidRPr="00A95D6D">
        <w:rPr>
          <w:rFonts w:ascii="Arial" w:hAnsi="Arial" w:cs="Arial"/>
          <w:b/>
          <w:sz w:val="22"/>
          <w:szCs w:val="22"/>
        </w:rPr>
        <w:t>3.0 Notes and Guides to P</w:t>
      </w:r>
      <w:r w:rsidR="00774287">
        <w:rPr>
          <w:rFonts w:ascii="Arial" w:hAnsi="Arial" w:cs="Arial"/>
          <w:b/>
          <w:sz w:val="22"/>
          <w:szCs w:val="22"/>
        </w:rPr>
        <w:t>rocuring</w:t>
      </w:r>
      <w:r w:rsidRPr="00A95D6D">
        <w:rPr>
          <w:rFonts w:ascii="Arial" w:hAnsi="Arial" w:cs="Arial"/>
          <w:b/>
          <w:sz w:val="22"/>
          <w:szCs w:val="22"/>
        </w:rPr>
        <w:t xml:space="preserve"> under the </w:t>
      </w:r>
      <w:r w:rsidR="004B6AC3">
        <w:rPr>
          <w:rFonts w:ascii="Arial" w:hAnsi="Arial" w:cs="Arial"/>
          <w:b/>
          <w:sz w:val="22"/>
          <w:szCs w:val="22"/>
        </w:rPr>
        <w:t>Procurement Act 2023</w:t>
      </w:r>
    </w:p>
    <w:p w14:paraId="57590CF2" w14:textId="77777777" w:rsidR="000B4721" w:rsidRPr="00A95D6D" w:rsidRDefault="000B4721">
      <w:pPr>
        <w:rPr>
          <w:rFonts w:ascii="Arial" w:hAnsi="Arial" w:cs="Arial"/>
          <w:sz w:val="22"/>
          <w:szCs w:val="22"/>
        </w:rPr>
      </w:pPr>
    </w:p>
    <w:p w14:paraId="0BF07FFB" w14:textId="48B66FD4" w:rsidR="000B4721" w:rsidRPr="00A81199" w:rsidRDefault="000B4721">
      <w:pPr>
        <w:rPr>
          <w:rFonts w:ascii="Arial" w:hAnsi="Arial" w:cs="Arial"/>
          <w:sz w:val="22"/>
          <w:szCs w:val="22"/>
        </w:rPr>
      </w:pPr>
      <w:r w:rsidRPr="00A81199">
        <w:rPr>
          <w:rFonts w:ascii="Arial" w:hAnsi="Arial" w:cs="Arial"/>
          <w:sz w:val="22"/>
          <w:szCs w:val="22"/>
        </w:rPr>
        <w:t>Minimum Financial Thresholds - Public Sector : a</w:t>
      </w:r>
      <w:r w:rsidR="008A2944" w:rsidRPr="00A81199">
        <w:rPr>
          <w:rFonts w:ascii="Arial" w:hAnsi="Arial" w:cs="Arial"/>
          <w:sz w:val="22"/>
          <w:szCs w:val="22"/>
        </w:rPr>
        <w:t xml:space="preserve">pplicable from </w:t>
      </w:r>
      <w:r w:rsidR="004C28F8" w:rsidRPr="00A81199">
        <w:rPr>
          <w:rFonts w:ascii="Arial" w:hAnsi="Arial" w:cs="Arial"/>
          <w:sz w:val="22"/>
          <w:szCs w:val="22"/>
        </w:rPr>
        <w:t>1st January 20</w:t>
      </w:r>
      <w:r w:rsidR="00AA4352" w:rsidRPr="00A81199">
        <w:rPr>
          <w:rFonts w:ascii="Arial" w:hAnsi="Arial" w:cs="Arial"/>
          <w:sz w:val="22"/>
          <w:szCs w:val="22"/>
        </w:rPr>
        <w:t>2</w:t>
      </w:r>
      <w:r w:rsidR="00823653">
        <w:rPr>
          <w:rFonts w:ascii="Arial" w:hAnsi="Arial" w:cs="Arial"/>
          <w:sz w:val="22"/>
          <w:szCs w:val="22"/>
        </w:rPr>
        <w:t>6</w:t>
      </w:r>
      <w:r w:rsidRPr="00A81199">
        <w:rPr>
          <w:rFonts w:ascii="Arial" w:hAnsi="Arial" w:cs="Arial"/>
          <w:sz w:val="22"/>
          <w:szCs w:val="22"/>
        </w:rPr>
        <w:t xml:space="preserve"> </w:t>
      </w:r>
      <w:r w:rsidRPr="00A81199">
        <w:rPr>
          <w:rFonts w:ascii="Arial" w:hAnsi="Arial" w:cs="Arial"/>
          <w:sz w:val="22"/>
          <w:szCs w:val="22"/>
        </w:rPr>
        <w:br/>
        <w:t xml:space="preserve">Contracts above these thresholds must be advertised </w:t>
      </w:r>
      <w:r w:rsidR="00BA40E7">
        <w:rPr>
          <w:rFonts w:ascii="Arial" w:hAnsi="Arial" w:cs="Arial"/>
          <w:sz w:val="22"/>
          <w:szCs w:val="22"/>
        </w:rPr>
        <w:t>on the Central Digital Platform (CDP).</w:t>
      </w:r>
    </w:p>
    <w:p w14:paraId="246A7190" w14:textId="7C4592F7" w:rsidR="000B4721" w:rsidRDefault="000B4721">
      <w:pPr>
        <w:rPr>
          <w:rFonts w:ascii="Arial" w:hAnsi="Arial" w:cs="Arial"/>
          <w:sz w:val="22"/>
          <w:szCs w:val="22"/>
        </w:rPr>
      </w:pPr>
      <w:r w:rsidRPr="00A81199">
        <w:rPr>
          <w:rFonts w:ascii="Arial" w:hAnsi="Arial" w:cs="Arial"/>
          <w:sz w:val="22"/>
          <w:szCs w:val="22"/>
        </w:rPr>
        <w:t>Public Sector minimum financial thresholds</w:t>
      </w:r>
      <w:r w:rsidR="0090611B" w:rsidRPr="00A81199">
        <w:rPr>
          <w:rFonts w:ascii="Arial" w:hAnsi="Arial" w:cs="Arial"/>
          <w:sz w:val="22"/>
          <w:szCs w:val="22"/>
        </w:rPr>
        <w:t xml:space="preserve"> (for the whole value of the contract inclusive of any </w:t>
      </w:r>
      <w:r w:rsidR="009C37B7" w:rsidRPr="00A81199">
        <w:rPr>
          <w:rFonts w:ascii="Arial" w:hAnsi="Arial" w:cs="Arial"/>
          <w:sz w:val="22"/>
          <w:szCs w:val="22"/>
        </w:rPr>
        <w:t>optional</w:t>
      </w:r>
      <w:r w:rsidR="0090611B" w:rsidRPr="00A81199">
        <w:rPr>
          <w:rFonts w:ascii="Arial" w:hAnsi="Arial" w:cs="Arial"/>
          <w:sz w:val="22"/>
          <w:szCs w:val="22"/>
        </w:rPr>
        <w:t xml:space="preserve"> periods):</w:t>
      </w:r>
    </w:p>
    <w:p w14:paraId="22936FB1" w14:textId="77777777" w:rsidR="0090611B" w:rsidRPr="00A95D6D" w:rsidRDefault="0090611B">
      <w:pPr>
        <w:rPr>
          <w:rFonts w:ascii="Arial" w:hAnsi="Arial" w:cs="Arial"/>
          <w:sz w:val="22"/>
          <w:szCs w:val="22"/>
        </w:rPr>
      </w:pPr>
    </w:p>
    <w:p w14:paraId="0D308CA1" w14:textId="77777777" w:rsidR="000B4721" w:rsidRDefault="000B4721">
      <w:pPr>
        <w:rPr>
          <w:rFonts w:ascii="Arial" w:hAnsi="Arial" w:cs="Arial"/>
          <w:b/>
          <w:sz w:val="22"/>
          <w:szCs w:val="22"/>
        </w:rPr>
      </w:pPr>
    </w:p>
    <w:tbl>
      <w:tblPr>
        <w:tblStyle w:val="TableGrid"/>
        <w:tblW w:w="0" w:type="auto"/>
        <w:tblLook w:val="04A0" w:firstRow="1" w:lastRow="0" w:firstColumn="1" w:lastColumn="0" w:noHBand="0" w:noVBand="1"/>
      </w:tblPr>
      <w:tblGrid>
        <w:gridCol w:w="2071"/>
        <w:gridCol w:w="2072"/>
        <w:gridCol w:w="2073"/>
        <w:gridCol w:w="2080"/>
      </w:tblGrid>
      <w:tr w:rsidR="00380480" w14:paraId="292BF75F" w14:textId="77777777" w:rsidTr="00462547">
        <w:tc>
          <w:tcPr>
            <w:tcW w:w="2130" w:type="dxa"/>
            <w:shd w:val="clear" w:color="auto" w:fill="C6D9F1" w:themeFill="text2" w:themeFillTint="33"/>
          </w:tcPr>
          <w:p w14:paraId="1A8FC03A" w14:textId="77777777" w:rsidR="00380480" w:rsidRDefault="00380480" w:rsidP="00380480">
            <w:pPr>
              <w:jc w:val="center"/>
              <w:rPr>
                <w:rFonts w:ascii="Arial" w:hAnsi="Arial" w:cs="Arial"/>
                <w:b/>
                <w:sz w:val="22"/>
                <w:szCs w:val="22"/>
              </w:rPr>
            </w:pPr>
            <w:r w:rsidRPr="00A95D6D">
              <w:rPr>
                <w:rFonts w:ascii="Arial" w:hAnsi="Arial" w:cs="Arial"/>
                <w:b/>
                <w:sz w:val="22"/>
                <w:szCs w:val="22"/>
              </w:rPr>
              <w:t>Supplies</w:t>
            </w:r>
          </w:p>
        </w:tc>
        <w:tc>
          <w:tcPr>
            <w:tcW w:w="2130" w:type="dxa"/>
            <w:shd w:val="clear" w:color="auto" w:fill="C6D9F1" w:themeFill="text2" w:themeFillTint="33"/>
          </w:tcPr>
          <w:p w14:paraId="17CE2C57" w14:textId="77777777" w:rsidR="00380480" w:rsidRDefault="00380480" w:rsidP="00380480">
            <w:pPr>
              <w:jc w:val="center"/>
              <w:rPr>
                <w:rFonts w:ascii="Arial" w:hAnsi="Arial" w:cs="Arial"/>
                <w:b/>
                <w:sz w:val="22"/>
                <w:szCs w:val="22"/>
              </w:rPr>
            </w:pPr>
            <w:r w:rsidRPr="00A95D6D">
              <w:rPr>
                <w:rFonts w:ascii="Arial" w:hAnsi="Arial" w:cs="Arial"/>
                <w:b/>
                <w:sz w:val="22"/>
                <w:szCs w:val="22"/>
              </w:rPr>
              <w:t>Services</w:t>
            </w:r>
          </w:p>
        </w:tc>
        <w:tc>
          <w:tcPr>
            <w:tcW w:w="2131" w:type="dxa"/>
            <w:shd w:val="clear" w:color="auto" w:fill="C6D9F1" w:themeFill="text2" w:themeFillTint="33"/>
          </w:tcPr>
          <w:p w14:paraId="5B87D314" w14:textId="77777777" w:rsidR="00380480" w:rsidRDefault="00380480" w:rsidP="00380480">
            <w:pPr>
              <w:jc w:val="center"/>
              <w:rPr>
                <w:rFonts w:ascii="Arial" w:hAnsi="Arial" w:cs="Arial"/>
                <w:b/>
                <w:sz w:val="22"/>
                <w:szCs w:val="22"/>
              </w:rPr>
            </w:pPr>
            <w:r>
              <w:rPr>
                <w:rFonts w:ascii="Arial" w:hAnsi="Arial" w:cs="Arial"/>
                <w:b/>
                <w:sz w:val="22"/>
                <w:szCs w:val="22"/>
              </w:rPr>
              <w:t>‘Light Touch Regime’ Services</w:t>
            </w:r>
          </w:p>
          <w:p w14:paraId="04B99F6E" w14:textId="77777777" w:rsidR="00380480" w:rsidRDefault="00380480" w:rsidP="00380480">
            <w:pPr>
              <w:jc w:val="center"/>
              <w:rPr>
                <w:rFonts w:ascii="Arial" w:hAnsi="Arial" w:cs="Arial"/>
                <w:b/>
                <w:sz w:val="22"/>
                <w:szCs w:val="22"/>
              </w:rPr>
            </w:pPr>
          </w:p>
        </w:tc>
        <w:tc>
          <w:tcPr>
            <w:tcW w:w="2131" w:type="dxa"/>
            <w:shd w:val="clear" w:color="auto" w:fill="C6D9F1" w:themeFill="text2" w:themeFillTint="33"/>
          </w:tcPr>
          <w:p w14:paraId="6025E76C" w14:textId="77777777" w:rsidR="00380480" w:rsidRDefault="00380480" w:rsidP="00380480">
            <w:pPr>
              <w:jc w:val="center"/>
              <w:rPr>
                <w:rFonts w:ascii="Arial" w:hAnsi="Arial" w:cs="Arial"/>
                <w:b/>
                <w:sz w:val="22"/>
                <w:szCs w:val="22"/>
              </w:rPr>
            </w:pPr>
            <w:r>
              <w:rPr>
                <w:rFonts w:ascii="Arial" w:hAnsi="Arial" w:cs="Arial"/>
                <w:b/>
                <w:sz w:val="22"/>
                <w:szCs w:val="22"/>
              </w:rPr>
              <w:t>Works</w:t>
            </w:r>
          </w:p>
        </w:tc>
      </w:tr>
      <w:tr w:rsidR="00380480" w14:paraId="3A77D851" w14:textId="77777777" w:rsidTr="00380480">
        <w:tc>
          <w:tcPr>
            <w:tcW w:w="2130" w:type="dxa"/>
          </w:tcPr>
          <w:p w14:paraId="16BDC8E3" w14:textId="77777777" w:rsidR="00380480" w:rsidRPr="006E263F" w:rsidRDefault="00380480" w:rsidP="00380480">
            <w:pPr>
              <w:jc w:val="center"/>
              <w:rPr>
                <w:rFonts w:ascii="Arial" w:hAnsi="Arial" w:cs="Arial"/>
                <w:b/>
                <w:bCs/>
                <w:sz w:val="22"/>
                <w:szCs w:val="22"/>
                <w:highlight w:val="yellow"/>
              </w:rPr>
            </w:pPr>
          </w:p>
          <w:p w14:paraId="549B6DF8" w14:textId="21D55D19" w:rsidR="00380480" w:rsidRPr="006E263F" w:rsidRDefault="00A81199" w:rsidP="00A81199">
            <w:pPr>
              <w:jc w:val="center"/>
              <w:rPr>
                <w:rFonts w:ascii="Arial" w:hAnsi="Arial" w:cs="Arial"/>
                <w:b/>
                <w:bCs/>
                <w:sz w:val="22"/>
                <w:szCs w:val="22"/>
              </w:rPr>
            </w:pPr>
            <w:r w:rsidRPr="006E263F">
              <w:rPr>
                <w:rFonts w:ascii="Arial" w:hAnsi="Arial" w:cs="Arial"/>
                <w:b/>
                <w:bCs/>
                <w:sz w:val="22"/>
                <w:szCs w:val="22"/>
              </w:rPr>
              <w:t xml:space="preserve"> £2</w:t>
            </w:r>
            <w:r w:rsidR="003706A7">
              <w:rPr>
                <w:rFonts w:ascii="Arial" w:hAnsi="Arial" w:cs="Arial"/>
                <w:b/>
                <w:bCs/>
                <w:sz w:val="22"/>
                <w:szCs w:val="22"/>
              </w:rPr>
              <w:t>07,720</w:t>
            </w:r>
            <w:r w:rsidRPr="006E263F">
              <w:rPr>
                <w:rFonts w:ascii="Arial" w:hAnsi="Arial" w:cs="Arial"/>
                <w:b/>
                <w:bCs/>
                <w:sz w:val="22"/>
                <w:szCs w:val="22"/>
              </w:rPr>
              <w:t xml:space="preserve"> including </w:t>
            </w:r>
            <w:r w:rsidR="006E263F" w:rsidRPr="006E263F">
              <w:rPr>
                <w:rFonts w:ascii="Arial" w:hAnsi="Arial" w:cs="Arial"/>
                <w:b/>
                <w:bCs/>
                <w:sz w:val="22"/>
                <w:szCs w:val="22"/>
              </w:rPr>
              <w:t>VAT</w:t>
            </w:r>
          </w:p>
          <w:p w14:paraId="09D069FC" w14:textId="38028B01" w:rsidR="00A81199" w:rsidRPr="006E263F" w:rsidRDefault="00A81199" w:rsidP="00A81199">
            <w:pPr>
              <w:jc w:val="center"/>
              <w:rPr>
                <w:rFonts w:ascii="Arial" w:hAnsi="Arial" w:cs="Arial"/>
                <w:b/>
                <w:bCs/>
                <w:sz w:val="22"/>
                <w:szCs w:val="22"/>
                <w:highlight w:val="yellow"/>
              </w:rPr>
            </w:pPr>
          </w:p>
        </w:tc>
        <w:tc>
          <w:tcPr>
            <w:tcW w:w="2130" w:type="dxa"/>
          </w:tcPr>
          <w:p w14:paraId="7940376F" w14:textId="77777777" w:rsidR="00B540C4" w:rsidRPr="00B540C4" w:rsidRDefault="00B540C4" w:rsidP="00B540C4">
            <w:pPr>
              <w:jc w:val="center"/>
              <w:rPr>
                <w:rFonts w:ascii="Arial" w:hAnsi="Arial" w:cs="Arial"/>
                <w:sz w:val="22"/>
                <w:szCs w:val="22"/>
              </w:rPr>
            </w:pPr>
          </w:p>
          <w:p w14:paraId="6BC85E7A" w14:textId="45E9D385" w:rsidR="00380480" w:rsidRPr="006E263F" w:rsidRDefault="00B540C4" w:rsidP="00B540C4">
            <w:pPr>
              <w:jc w:val="center"/>
              <w:rPr>
                <w:rFonts w:ascii="Arial" w:hAnsi="Arial" w:cs="Arial"/>
                <w:b/>
                <w:bCs/>
                <w:sz w:val="22"/>
                <w:szCs w:val="22"/>
                <w:highlight w:val="yellow"/>
              </w:rPr>
            </w:pPr>
            <w:r w:rsidRPr="00B540C4">
              <w:rPr>
                <w:rFonts w:ascii="Arial" w:hAnsi="Arial" w:cs="Arial"/>
                <w:sz w:val="22"/>
                <w:szCs w:val="22"/>
              </w:rPr>
              <w:t xml:space="preserve"> </w:t>
            </w:r>
            <w:r w:rsidRPr="006E263F">
              <w:rPr>
                <w:rFonts w:ascii="Arial" w:hAnsi="Arial" w:cs="Arial"/>
                <w:b/>
                <w:bCs/>
                <w:sz w:val="22"/>
                <w:szCs w:val="22"/>
              </w:rPr>
              <w:t>£2</w:t>
            </w:r>
            <w:r w:rsidR="003706A7">
              <w:rPr>
                <w:rFonts w:ascii="Arial" w:hAnsi="Arial" w:cs="Arial"/>
                <w:b/>
                <w:bCs/>
                <w:sz w:val="22"/>
                <w:szCs w:val="22"/>
              </w:rPr>
              <w:t>07,720</w:t>
            </w:r>
            <w:r w:rsidR="009318C2" w:rsidRPr="006E263F">
              <w:rPr>
                <w:rFonts w:ascii="Arial" w:hAnsi="Arial" w:cs="Arial"/>
                <w:b/>
                <w:bCs/>
                <w:sz w:val="22"/>
                <w:szCs w:val="22"/>
              </w:rPr>
              <w:t xml:space="preserve"> </w:t>
            </w:r>
            <w:r w:rsidRPr="006E263F">
              <w:rPr>
                <w:rFonts w:ascii="Arial" w:hAnsi="Arial" w:cs="Arial"/>
                <w:b/>
                <w:bCs/>
                <w:sz w:val="22"/>
                <w:szCs w:val="22"/>
              </w:rPr>
              <w:t xml:space="preserve">including </w:t>
            </w:r>
            <w:r w:rsidR="006E263F" w:rsidRPr="006E263F">
              <w:rPr>
                <w:rFonts w:ascii="Arial" w:hAnsi="Arial" w:cs="Arial"/>
                <w:b/>
                <w:bCs/>
                <w:sz w:val="22"/>
                <w:szCs w:val="22"/>
              </w:rPr>
              <w:t>VAT</w:t>
            </w:r>
          </w:p>
        </w:tc>
        <w:tc>
          <w:tcPr>
            <w:tcW w:w="2131" w:type="dxa"/>
          </w:tcPr>
          <w:p w14:paraId="00DD54E7" w14:textId="77777777" w:rsidR="00380480" w:rsidRPr="00774287" w:rsidRDefault="00380480" w:rsidP="00380480">
            <w:pPr>
              <w:jc w:val="center"/>
              <w:rPr>
                <w:rFonts w:ascii="Arial" w:hAnsi="Arial" w:cs="Arial"/>
                <w:sz w:val="22"/>
                <w:szCs w:val="22"/>
                <w:highlight w:val="yellow"/>
              </w:rPr>
            </w:pPr>
          </w:p>
          <w:p w14:paraId="460EC8A8" w14:textId="10A7F283" w:rsidR="00380480" w:rsidRPr="006E263F" w:rsidRDefault="00703941" w:rsidP="00703941">
            <w:pPr>
              <w:jc w:val="center"/>
              <w:rPr>
                <w:rFonts w:ascii="Arial" w:hAnsi="Arial" w:cs="Arial"/>
                <w:b/>
                <w:bCs/>
                <w:sz w:val="22"/>
                <w:szCs w:val="22"/>
                <w:highlight w:val="yellow"/>
              </w:rPr>
            </w:pPr>
            <w:r w:rsidRPr="006E263F">
              <w:rPr>
                <w:rFonts w:ascii="Arial" w:hAnsi="Arial" w:cs="Arial"/>
                <w:b/>
                <w:bCs/>
                <w:sz w:val="22"/>
                <w:szCs w:val="22"/>
              </w:rPr>
              <w:t xml:space="preserve">£663,540 including </w:t>
            </w:r>
            <w:r w:rsidR="006E263F" w:rsidRPr="006E263F">
              <w:rPr>
                <w:rFonts w:ascii="Arial" w:hAnsi="Arial" w:cs="Arial"/>
                <w:b/>
                <w:bCs/>
                <w:sz w:val="22"/>
                <w:szCs w:val="22"/>
              </w:rPr>
              <w:t>VAT</w:t>
            </w:r>
          </w:p>
        </w:tc>
        <w:tc>
          <w:tcPr>
            <w:tcW w:w="2131" w:type="dxa"/>
          </w:tcPr>
          <w:p w14:paraId="4034AB5A" w14:textId="77777777" w:rsidR="00380480" w:rsidRPr="00774287" w:rsidRDefault="00380480" w:rsidP="00380480">
            <w:pPr>
              <w:jc w:val="center"/>
              <w:rPr>
                <w:rFonts w:ascii="Arial" w:hAnsi="Arial" w:cs="Arial"/>
                <w:sz w:val="22"/>
                <w:szCs w:val="22"/>
                <w:highlight w:val="yellow"/>
              </w:rPr>
            </w:pPr>
          </w:p>
          <w:p w14:paraId="3F9E643A" w14:textId="6A0711AD" w:rsidR="00380480" w:rsidRPr="006E263F" w:rsidRDefault="00703941" w:rsidP="00703941">
            <w:pPr>
              <w:jc w:val="center"/>
              <w:rPr>
                <w:rFonts w:ascii="Arial" w:hAnsi="Arial" w:cs="Arial"/>
                <w:b/>
                <w:bCs/>
                <w:sz w:val="22"/>
                <w:szCs w:val="22"/>
                <w:highlight w:val="yellow"/>
              </w:rPr>
            </w:pPr>
            <w:r w:rsidRPr="006E263F">
              <w:rPr>
                <w:rFonts w:ascii="Arial" w:hAnsi="Arial" w:cs="Arial"/>
                <w:b/>
                <w:bCs/>
                <w:sz w:val="22"/>
                <w:szCs w:val="22"/>
              </w:rPr>
              <w:t>£5,</w:t>
            </w:r>
            <w:r w:rsidR="003706A7">
              <w:rPr>
                <w:rFonts w:ascii="Arial" w:hAnsi="Arial" w:cs="Arial"/>
                <w:b/>
                <w:bCs/>
                <w:sz w:val="22"/>
                <w:szCs w:val="22"/>
              </w:rPr>
              <w:t>193,000</w:t>
            </w:r>
            <w:r w:rsidRPr="006E263F">
              <w:rPr>
                <w:rFonts w:ascii="Arial" w:hAnsi="Arial" w:cs="Arial"/>
                <w:b/>
                <w:bCs/>
                <w:sz w:val="22"/>
                <w:szCs w:val="22"/>
              </w:rPr>
              <w:t xml:space="preserve"> including </w:t>
            </w:r>
            <w:r w:rsidR="006E263F" w:rsidRPr="006E263F">
              <w:rPr>
                <w:rFonts w:ascii="Arial" w:hAnsi="Arial" w:cs="Arial"/>
                <w:b/>
                <w:bCs/>
                <w:sz w:val="22"/>
                <w:szCs w:val="22"/>
              </w:rPr>
              <w:t>VAT</w:t>
            </w:r>
          </w:p>
        </w:tc>
      </w:tr>
    </w:tbl>
    <w:p w14:paraId="22B26DB3" w14:textId="77777777" w:rsidR="0098230D" w:rsidRDefault="0098230D">
      <w:pPr>
        <w:rPr>
          <w:rFonts w:ascii="Arial" w:hAnsi="Arial" w:cs="Arial"/>
          <w:b/>
          <w:sz w:val="22"/>
          <w:szCs w:val="22"/>
        </w:rPr>
      </w:pPr>
    </w:p>
    <w:p w14:paraId="32273070" w14:textId="77777777" w:rsidR="0098230D" w:rsidRDefault="0098230D">
      <w:pPr>
        <w:rPr>
          <w:rFonts w:ascii="Arial" w:hAnsi="Arial" w:cs="Arial"/>
          <w:b/>
          <w:sz w:val="22"/>
          <w:szCs w:val="22"/>
        </w:rPr>
      </w:pPr>
    </w:p>
    <w:p w14:paraId="247A0C4F" w14:textId="77777777" w:rsidR="0098230D" w:rsidRDefault="0098230D">
      <w:pPr>
        <w:rPr>
          <w:rFonts w:ascii="Arial" w:hAnsi="Arial" w:cs="Arial"/>
          <w:b/>
          <w:sz w:val="22"/>
          <w:szCs w:val="22"/>
        </w:rPr>
      </w:pPr>
    </w:p>
    <w:p w14:paraId="79370172" w14:textId="77777777" w:rsidR="0098230D" w:rsidRPr="00A95D6D" w:rsidRDefault="0098230D">
      <w:pPr>
        <w:rPr>
          <w:rFonts w:ascii="Arial" w:hAnsi="Arial" w:cs="Arial"/>
          <w:b/>
          <w:sz w:val="22"/>
          <w:szCs w:val="22"/>
        </w:rPr>
      </w:pPr>
    </w:p>
    <w:p w14:paraId="4E3F6EF2" w14:textId="76DF8088" w:rsidR="000B4721" w:rsidRPr="007B0156" w:rsidRDefault="000B4721">
      <w:pPr>
        <w:rPr>
          <w:rFonts w:ascii="Arial" w:hAnsi="Arial" w:cs="Arial"/>
          <w:sz w:val="22"/>
          <w:szCs w:val="22"/>
        </w:rPr>
      </w:pPr>
      <w:r w:rsidRPr="007B0156">
        <w:rPr>
          <w:rFonts w:ascii="Arial" w:hAnsi="Arial" w:cs="Arial"/>
          <w:sz w:val="22"/>
          <w:szCs w:val="22"/>
        </w:rPr>
        <w:t xml:space="preserve">Types of Notices </w:t>
      </w:r>
      <w:r w:rsidR="0077666B" w:rsidRPr="007B0156">
        <w:rPr>
          <w:rFonts w:ascii="Arial" w:hAnsi="Arial" w:cs="Arial"/>
          <w:sz w:val="22"/>
          <w:szCs w:val="22"/>
        </w:rPr>
        <w:t>:</w:t>
      </w:r>
    </w:p>
    <w:p w14:paraId="72900F8E" w14:textId="77777777" w:rsidR="0077666B" w:rsidRPr="007B0156" w:rsidRDefault="0077666B">
      <w:pPr>
        <w:rPr>
          <w:rFonts w:ascii="Arial" w:hAnsi="Arial" w:cs="Arial"/>
          <w:sz w:val="22"/>
          <w:szCs w:val="22"/>
        </w:rPr>
      </w:pPr>
    </w:p>
    <w:tbl>
      <w:tblPr>
        <w:tblW w:w="0" w:type="auto"/>
        <w:tblInd w:w="23" w:type="dxa"/>
        <w:tblLayout w:type="fixed"/>
        <w:tblCellMar>
          <w:left w:w="0" w:type="dxa"/>
          <w:right w:w="0" w:type="dxa"/>
        </w:tblCellMar>
        <w:tblLook w:val="0000" w:firstRow="0" w:lastRow="0" w:firstColumn="0" w:lastColumn="0" w:noHBand="0" w:noVBand="0"/>
      </w:tblPr>
      <w:tblGrid>
        <w:gridCol w:w="1151"/>
        <w:gridCol w:w="7272"/>
      </w:tblGrid>
      <w:tr w:rsidR="000B4721" w:rsidRPr="007B0156" w14:paraId="3DD39AC2" w14:textId="77777777">
        <w:tc>
          <w:tcPr>
            <w:tcW w:w="1151" w:type="dxa"/>
            <w:tcBorders>
              <w:top w:val="threeDEmboss" w:sz="6" w:space="0" w:color="auto"/>
              <w:left w:val="threeDEmboss" w:sz="6" w:space="0" w:color="auto"/>
              <w:bottom w:val="threeDEmboss" w:sz="6" w:space="0" w:color="auto"/>
              <w:right w:val="threeDEmboss" w:sz="6" w:space="0" w:color="auto"/>
            </w:tcBorders>
            <w:vAlign w:val="center"/>
          </w:tcPr>
          <w:p w14:paraId="1BB1AC08" w14:textId="77777777" w:rsidR="000B4721" w:rsidRPr="007B0156" w:rsidRDefault="000B4721">
            <w:pPr>
              <w:jc w:val="center"/>
              <w:rPr>
                <w:rFonts w:ascii="Arial" w:hAnsi="Arial" w:cs="Arial"/>
                <w:b/>
                <w:sz w:val="22"/>
                <w:szCs w:val="22"/>
              </w:rPr>
            </w:pPr>
            <w:r w:rsidRPr="007B0156">
              <w:rPr>
                <w:rFonts w:ascii="Arial" w:hAnsi="Arial" w:cs="Arial"/>
                <w:b/>
                <w:sz w:val="22"/>
                <w:szCs w:val="22"/>
              </w:rPr>
              <w:t xml:space="preserve"> Regime</w:t>
            </w:r>
          </w:p>
        </w:tc>
        <w:tc>
          <w:tcPr>
            <w:tcW w:w="7272" w:type="dxa"/>
            <w:tcBorders>
              <w:top w:val="threeDEmboss" w:sz="6" w:space="0" w:color="auto"/>
              <w:left w:val="threeDEmboss" w:sz="6" w:space="0" w:color="auto"/>
              <w:bottom w:val="threeDEmboss" w:sz="6" w:space="0" w:color="auto"/>
              <w:right w:val="threeDEmboss" w:sz="6" w:space="0" w:color="auto"/>
            </w:tcBorders>
            <w:vAlign w:val="center"/>
          </w:tcPr>
          <w:p w14:paraId="0A2162AF" w14:textId="77777777" w:rsidR="000B4721" w:rsidRPr="007B0156" w:rsidRDefault="000B4721">
            <w:pPr>
              <w:jc w:val="center"/>
              <w:rPr>
                <w:rFonts w:ascii="Arial" w:hAnsi="Arial" w:cs="Arial"/>
                <w:b/>
                <w:sz w:val="22"/>
                <w:szCs w:val="22"/>
              </w:rPr>
            </w:pPr>
            <w:r w:rsidRPr="007B0156">
              <w:rPr>
                <w:rFonts w:ascii="Arial" w:hAnsi="Arial" w:cs="Arial"/>
                <w:b/>
                <w:sz w:val="22"/>
                <w:szCs w:val="22"/>
              </w:rPr>
              <w:t>Types of Notice</w:t>
            </w:r>
          </w:p>
        </w:tc>
      </w:tr>
      <w:tr w:rsidR="000B4721" w:rsidRPr="00B535F8" w14:paraId="6A42446E" w14:textId="77777777">
        <w:tc>
          <w:tcPr>
            <w:tcW w:w="1151" w:type="dxa"/>
            <w:tcBorders>
              <w:top w:val="threeDEmboss" w:sz="6" w:space="0" w:color="auto"/>
              <w:left w:val="threeDEmboss" w:sz="6" w:space="0" w:color="auto"/>
              <w:bottom w:val="threeDEmboss" w:sz="6" w:space="0" w:color="auto"/>
              <w:right w:val="threeDEmboss" w:sz="6" w:space="0" w:color="auto"/>
            </w:tcBorders>
            <w:vAlign w:val="center"/>
          </w:tcPr>
          <w:p w14:paraId="6351BBB6" w14:textId="11E5426F" w:rsidR="003F3C3C" w:rsidRPr="007B0156" w:rsidRDefault="000B4721">
            <w:pPr>
              <w:jc w:val="center"/>
              <w:rPr>
                <w:rFonts w:ascii="Arial" w:hAnsi="Arial" w:cs="Arial"/>
                <w:sz w:val="22"/>
                <w:szCs w:val="22"/>
              </w:rPr>
            </w:pPr>
            <w:r w:rsidRPr="007B0156">
              <w:rPr>
                <w:rFonts w:ascii="Arial" w:hAnsi="Arial" w:cs="Arial"/>
                <w:sz w:val="22"/>
                <w:szCs w:val="22"/>
              </w:rPr>
              <w:t>Supplies</w:t>
            </w:r>
            <w:r w:rsidR="003F3C3C" w:rsidRPr="007B0156">
              <w:rPr>
                <w:rFonts w:ascii="Arial" w:hAnsi="Arial" w:cs="Arial"/>
                <w:sz w:val="22"/>
                <w:szCs w:val="22"/>
              </w:rPr>
              <w:t>,</w:t>
            </w:r>
          </w:p>
          <w:p w14:paraId="79E4CD61" w14:textId="005F4E76" w:rsidR="000B4721" w:rsidRPr="007B0156" w:rsidRDefault="003F3C3C">
            <w:pPr>
              <w:jc w:val="center"/>
              <w:rPr>
                <w:rFonts w:ascii="Arial" w:hAnsi="Arial" w:cs="Arial"/>
                <w:sz w:val="22"/>
                <w:szCs w:val="22"/>
              </w:rPr>
            </w:pPr>
            <w:r w:rsidRPr="007B0156">
              <w:rPr>
                <w:rFonts w:ascii="Arial" w:hAnsi="Arial" w:cs="Arial"/>
                <w:sz w:val="22"/>
                <w:szCs w:val="22"/>
              </w:rPr>
              <w:t>Services and Works</w:t>
            </w:r>
          </w:p>
        </w:tc>
        <w:tc>
          <w:tcPr>
            <w:tcW w:w="7272" w:type="dxa"/>
            <w:tcBorders>
              <w:top w:val="threeDEmboss" w:sz="6" w:space="0" w:color="auto"/>
              <w:left w:val="threeDEmboss" w:sz="6" w:space="0" w:color="auto"/>
              <w:bottom w:val="threeDEmboss" w:sz="6" w:space="0" w:color="auto"/>
              <w:right w:val="threeDEmboss" w:sz="6" w:space="0" w:color="auto"/>
            </w:tcBorders>
            <w:vAlign w:val="center"/>
          </w:tcPr>
          <w:p w14:paraId="2B759FCD" w14:textId="15B4426F" w:rsidR="000B4721" w:rsidRPr="007B0156" w:rsidRDefault="000B4721">
            <w:pPr>
              <w:ind w:left="360"/>
              <w:rPr>
                <w:rFonts w:ascii="Arial" w:hAnsi="Arial" w:cs="Arial"/>
                <w:sz w:val="22"/>
                <w:szCs w:val="22"/>
              </w:rPr>
            </w:pPr>
          </w:p>
          <w:p w14:paraId="6017E99F" w14:textId="77777777" w:rsidR="003F3C3C" w:rsidRPr="007B0156" w:rsidRDefault="003F3C3C">
            <w:pPr>
              <w:ind w:left="360"/>
              <w:rPr>
                <w:rFonts w:ascii="Arial" w:hAnsi="Arial" w:cs="Arial"/>
                <w:sz w:val="22"/>
                <w:szCs w:val="22"/>
              </w:rPr>
            </w:pPr>
            <w:r w:rsidRPr="007B0156">
              <w:rPr>
                <w:rFonts w:ascii="Arial" w:hAnsi="Arial" w:cs="Arial"/>
                <w:sz w:val="22"/>
                <w:szCs w:val="22"/>
              </w:rPr>
              <w:t>Pipeline Notice</w:t>
            </w:r>
          </w:p>
          <w:p w14:paraId="6D42D05A" w14:textId="77777777" w:rsidR="003F3C3C" w:rsidRPr="007B0156" w:rsidRDefault="003F3C3C">
            <w:pPr>
              <w:ind w:left="360"/>
              <w:rPr>
                <w:rFonts w:ascii="Arial" w:hAnsi="Arial" w:cs="Arial"/>
                <w:sz w:val="22"/>
                <w:szCs w:val="22"/>
              </w:rPr>
            </w:pPr>
            <w:r w:rsidRPr="007B0156">
              <w:rPr>
                <w:rFonts w:ascii="Arial" w:hAnsi="Arial" w:cs="Arial"/>
                <w:sz w:val="22"/>
                <w:szCs w:val="22"/>
              </w:rPr>
              <w:t>Pre-Market Engagement Notice</w:t>
            </w:r>
          </w:p>
          <w:p w14:paraId="5B58E8D1" w14:textId="77777777" w:rsidR="003F3C3C" w:rsidRPr="007B0156" w:rsidRDefault="003F3C3C">
            <w:pPr>
              <w:ind w:left="360"/>
              <w:rPr>
                <w:rFonts w:ascii="Arial" w:hAnsi="Arial" w:cs="Arial"/>
                <w:sz w:val="22"/>
                <w:szCs w:val="22"/>
              </w:rPr>
            </w:pPr>
            <w:r w:rsidRPr="007B0156">
              <w:rPr>
                <w:rFonts w:ascii="Arial" w:hAnsi="Arial" w:cs="Arial"/>
                <w:sz w:val="22"/>
                <w:szCs w:val="22"/>
              </w:rPr>
              <w:t>Planned Procurement Notice</w:t>
            </w:r>
          </w:p>
          <w:p w14:paraId="5D90E971" w14:textId="77777777" w:rsidR="003F3C3C" w:rsidRPr="007B0156" w:rsidRDefault="003F3C3C">
            <w:pPr>
              <w:ind w:left="360"/>
              <w:rPr>
                <w:rFonts w:ascii="Arial" w:hAnsi="Arial" w:cs="Arial"/>
                <w:sz w:val="22"/>
                <w:szCs w:val="22"/>
              </w:rPr>
            </w:pPr>
            <w:r w:rsidRPr="007B0156">
              <w:rPr>
                <w:rFonts w:ascii="Arial" w:hAnsi="Arial" w:cs="Arial"/>
                <w:sz w:val="22"/>
                <w:szCs w:val="22"/>
              </w:rPr>
              <w:t>Tender Notice</w:t>
            </w:r>
          </w:p>
          <w:p w14:paraId="3424E881" w14:textId="77777777" w:rsidR="003F3C3C" w:rsidRPr="007B0156" w:rsidRDefault="003F3C3C">
            <w:pPr>
              <w:ind w:left="360"/>
              <w:rPr>
                <w:rFonts w:ascii="Arial" w:hAnsi="Arial" w:cs="Arial"/>
                <w:sz w:val="22"/>
                <w:szCs w:val="22"/>
              </w:rPr>
            </w:pPr>
            <w:r w:rsidRPr="007B0156">
              <w:rPr>
                <w:rFonts w:ascii="Arial" w:hAnsi="Arial" w:cs="Arial"/>
                <w:sz w:val="22"/>
                <w:szCs w:val="22"/>
              </w:rPr>
              <w:t>Contract Award Notice</w:t>
            </w:r>
          </w:p>
          <w:p w14:paraId="72C6D289" w14:textId="77777777" w:rsidR="003F3C3C" w:rsidRPr="007B0156" w:rsidRDefault="003F3C3C">
            <w:pPr>
              <w:ind w:left="360"/>
              <w:rPr>
                <w:rFonts w:ascii="Arial" w:hAnsi="Arial" w:cs="Arial"/>
                <w:sz w:val="22"/>
                <w:szCs w:val="22"/>
              </w:rPr>
            </w:pPr>
            <w:r w:rsidRPr="007B0156">
              <w:rPr>
                <w:rFonts w:ascii="Arial" w:hAnsi="Arial" w:cs="Arial"/>
                <w:sz w:val="22"/>
                <w:szCs w:val="22"/>
              </w:rPr>
              <w:t>Contract Details Notice</w:t>
            </w:r>
          </w:p>
          <w:p w14:paraId="24B90D5C" w14:textId="4038B5D3" w:rsidR="003F3C3C" w:rsidRPr="007B0156" w:rsidRDefault="003F3C3C">
            <w:pPr>
              <w:ind w:left="360"/>
              <w:rPr>
                <w:rFonts w:ascii="Arial" w:hAnsi="Arial" w:cs="Arial"/>
                <w:sz w:val="22"/>
                <w:szCs w:val="22"/>
              </w:rPr>
            </w:pPr>
            <w:r w:rsidRPr="007B0156">
              <w:rPr>
                <w:rFonts w:ascii="Arial" w:hAnsi="Arial" w:cs="Arial"/>
                <w:sz w:val="22"/>
                <w:szCs w:val="22"/>
              </w:rPr>
              <w:t>Contract Termination Notice</w:t>
            </w:r>
          </w:p>
        </w:tc>
      </w:tr>
      <w:tr w:rsidR="000B4721" w:rsidRPr="00B535F8" w14:paraId="42153686" w14:textId="77777777">
        <w:tc>
          <w:tcPr>
            <w:tcW w:w="1151" w:type="dxa"/>
            <w:tcBorders>
              <w:top w:val="threeDEmboss" w:sz="6" w:space="0" w:color="auto"/>
              <w:left w:val="threeDEmboss" w:sz="6" w:space="0" w:color="auto"/>
              <w:bottom w:val="threeDEmboss" w:sz="6" w:space="0" w:color="auto"/>
              <w:right w:val="threeDEmboss" w:sz="6" w:space="0" w:color="auto"/>
            </w:tcBorders>
            <w:vAlign w:val="center"/>
          </w:tcPr>
          <w:p w14:paraId="0B483124" w14:textId="3F6546CF" w:rsidR="000B4721" w:rsidRPr="00B535F8" w:rsidRDefault="000B4721">
            <w:pPr>
              <w:jc w:val="center"/>
              <w:rPr>
                <w:rFonts w:ascii="Arial" w:hAnsi="Arial" w:cs="Arial"/>
                <w:sz w:val="22"/>
                <w:szCs w:val="22"/>
                <w:highlight w:val="yellow"/>
              </w:rPr>
            </w:pPr>
          </w:p>
        </w:tc>
        <w:tc>
          <w:tcPr>
            <w:tcW w:w="7272" w:type="dxa"/>
            <w:tcBorders>
              <w:top w:val="threeDEmboss" w:sz="6" w:space="0" w:color="auto"/>
              <w:left w:val="threeDEmboss" w:sz="6" w:space="0" w:color="auto"/>
              <w:bottom w:val="threeDEmboss" w:sz="6" w:space="0" w:color="auto"/>
              <w:right w:val="threeDEmboss" w:sz="6" w:space="0" w:color="auto"/>
            </w:tcBorders>
            <w:vAlign w:val="center"/>
          </w:tcPr>
          <w:p w14:paraId="49B50F35" w14:textId="21E0FBC9" w:rsidR="000B4721" w:rsidRPr="00B535F8" w:rsidRDefault="000B4721">
            <w:pPr>
              <w:ind w:left="360"/>
              <w:rPr>
                <w:rFonts w:ascii="Arial" w:hAnsi="Arial" w:cs="Arial"/>
                <w:sz w:val="22"/>
                <w:szCs w:val="22"/>
                <w:highlight w:val="yellow"/>
              </w:rPr>
            </w:pPr>
          </w:p>
        </w:tc>
      </w:tr>
      <w:tr w:rsidR="000B4721" w:rsidRPr="00A95D6D" w14:paraId="6097ABAC" w14:textId="77777777">
        <w:tc>
          <w:tcPr>
            <w:tcW w:w="1151" w:type="dxa"/>
            <w:tcBorders>
              <w:top w:val="threeDEmboss" w:sz="6" w:space="0" w:color="auto"/>
              <w:left w:val="threeDEmboss" w:sz="6" w:space="0" w:color="auto"/>
              <w:bottom w:val="threeDEmboss" w:sz="6" w:space="0" w:color="auto"/>
              <w:right w:val="threeDEmboss" w:sz="6" w:space="0" w:color="auto"/>
            </w:tcBorders>
            <w:vAlign w:val="center"/>
          </w:tcPr>
          <w:p w14:paraId="42D99D74" w14:textId="4F280504" w:rsidR="000B4721" w:rsidRPr="00B535F8" w:rsidRDefault="000B4721">
            <w:pPr>
              <w:jc w:val="center"/>
              <w:rPr>
                <w:rFonts w:ascii="Arial" w:hAnsi="Arial" w:cs="Arial"/>
                <w:sz w:val="22"/>
                <w:szCs w:val="22"/>
                <w:highlight w:val="yellow"/>
              </w:rPr>
            </w:pPr>
          </w:p>
        </w:tc>
        <w:tc>
          <w:tcPr>
            <w:tcW w:w="7272" w:type="dxa"/>
            <w:tcBorders>
              <w:top w:val="threeDEmboss" w:sz="6" w:space="0" w:color="auto"/>
              <w:left w:val="threeDEmboss" w:sz="6" w:space="0" w:color="auto"/>
              <w:bottom w:val="threeDEmboss" w:sz="6" w:space="0" w:color="auto"/>
              <w:right w:val="threeDEmboss" w:sz="6" w:space="0" w:color="auto"/>
            </w:tcBorders>
            <w:vAlign w:val="center"/>
          </w:tcPr>
          <w:p w14:paraId="1132B007" w14:textId="6DD0349C" w:rsidR="000B4721" w:rsidRPr="00A95D6D" w:rsidRDefault="000B4721">
            <w:pPr>
              <w:ind w:left="360"/>
              <w:rPr>
                <w:rFonts w:ascii="Arial" w:hAnsi="Arial" w:cs="Arial"/>
                <w:sz w:val="22"/>
                <w:szCs w:val="22"/>
              </w:rPr>
            </w:pPr>
          </w:p>
        </w:tc>
      </w:tr>
    </w:tbl>
    <w:p w14:paraId="35A1C8FD" w14:textId="77777777" w:rsidR="000B4721" w:rsidRPr="00A95D6D" w:rsidRDefault="000B4721">
      <w:pPr>
        <w:rPr>
          <w:rFonts w:ascii="Arial" w:hAnsi="Arial" w:cs="Arial"/>
          <w:b/>
          <w:sz w:val="22"/>
          <w:szCs w:val="22"/>
        </w:rPr>
      </w:pPr>
    </w:p>
    <w:p w14:paraId="1AA87425" w14:textId="77777777" w:rsidR="002954C8" w:rsidRDefault="002954C8">
      <w:pPr>
        <w:rPr>
          <w:rFonts w:ascii="Arial" w:hAnsi="Arial" w:cs="Arial"/>
          <w:sz w:val="22"/>
          <w:szCs w:val="22"/>
          <w:u w:val="single"/>
        </w:rPr>
      </w:pPr>
    </w:p>
    <w:p w14:paraId="4DCFE298" w14:textId="2D04119A" w:rsidR="00462547" w:rsidRPr="00373822" w:rsidRDefault="00D44C48">
      <w:pPr>
        <w:rPr>
          <w:rFonts w:ascii="Arial" w:hAnsi="Arial" w:cs="Arial"/>
          <w:sz w:val="22"/>
          <w:szCs w:val="22"/>
        </w:rPr>
      </w:pPr>
      <w:r w:rsidRPr="00373822">
        <w:rPr>
          <w:rFonts w:ascii="Arial" w:hAnsi="Arial" w:cs="Arial"/>
          <w:sz w:val="22"/>
          <w:szCs w:val="22"/>
        </w:rPr>
        <w:t>There are additional notices (used under certain circumstances) other than the standard notices listed above, these are:</w:t>
      </w:r>
    </w:p>
    <w:p w14:paraId="6A0ED82F" w14:textId="77777777" w:rsidR="00D44C48" w:rsidRPr="00373822" w:rsidRDefault="00D44C48">
      <w:pPr>
        <w:rPr>
          <w:rFonts w:ascii="Arial" w:hAnsi="Arial" w:cs="Arial"/>
          <w:sz w:val="22"/>
          <w:szCs w:val="22"/>
        </w:rPr>
      </w:pPr>
    </w:p>
    <w:p w14:paraId="45663904" w14:textId="3AB623D4" w:rsidR="00D44C48" w:rsidRPr="00373822" w:rsidRDefault="00D44C48">
      <w:pPr>
        <w:rPr>
          <w:rFonts w:ascii="Arial" w:hAnsi="Arial" w:cs="Arial"/>
          <w:sz w:val="22"/>
          <w:szCs w:val="22"/>
        </w:rPr>
      </w:pPr>
      <w:r w:rsidRPr="00373822">
        <w:rPr>
          <w:rFonts w:ascii="Arial" w:hAnsi="Arial" w:cs="Arial"/>
          <w:sz w:val="22"/>
          <w:szCs w:val="22"/>
        </w:rPr>
        <w:t>Contract change notice</w:t>
      </w:r>
    </w:p>
    <w:p w14:paraId="346C5FB9" w14:textId="44516489" w:rsidR="00D44C48" w:rsidRPr="00373822" w:rsidRDefault="00D44C48">
      <w:pPr>
        <w:rPr>
          <w:rFonts w:ascii="Arial" w:hAnsi="Arial" w:cs="Arial"/>
          <w:sz w:val="22"/>
          <w:szCs w:val="22"/>
        </w:rPr>
      </w:pPr>
      <w:r w:rsidRPr="00373822">
        <w:rPr>
          <w:rFonts w:ascii="Arial" w:hAnsi="Arial" w:cs="Arial"/>
          <w:sz w:val="22"/>
          <w:szCs w:val="22"/>
        </w:rPr>
        <w:t>Payments Compliance Notice</w:t>
      </w:r>
    </w:p>
    <w:p w14:paraId="703CED09" w14:textId="0DF9BB44" w:rsidR="00D44C48" w:rsidRDefault="00D44C48">
      <w:pPr>
        <w:rPr>
          <w:rFonts w:ascii="Arial" w:hAnsi="Arial" w:cs="Arial"/>
          <w:sz w:val="22"/>
          <w:szCs w:val="22"/>
        </w:rPr>
      </w:pPr>
      <w:r w:rsidRPr="00373822">
        <w:rPr>
          <w:rFonts w:ascii="Arial" w:hAnsi="Arial" w:cs="Arial"/>
          <w:sz w:val="22"/>
          <w:szCs w:val="22"/>
        </w:rPr>
        <w:t>Contract Performance Notice</w:t>
      </w:r>
    </w:p>
    <w:p w14:paraId="3D95B99A" w14:textId="77777777" w:rsidR="00702834" w:rsidRDefault="00702834">
      <w:pPr>
        <w:rPr>
          <w:rFonts w:ascii="Arial" w:hAnsi="Arial" w:cs="Arial"/>
          <w:sz w:val="22"/>
          <w:szCs w:val="22"/>
        </w:rPr>
      </w:pPr>
    </w:p>
    <w:p w14:paraId="36053C27" w14:textId="77777777" w:rsidR="00702834" w:rsidRPr="00373822" w:rsidRDefault="00702834">
      <w:pPr>
        <w:rPr>
          <w:rFonts w:ascii="Arial" w:hAnsi="Arial" w:cs="Arial"/>
          <w:sz w:val="22"/>
          <w:szCs w:val="22"/>
        </w:rPr>
      </w:pPr>
    </w:p>
    <w:p w14:paraId="5E7B515F" w14:textId="77777777" w:rsidR="00D44C48" w:rsidRDefault="00D44C48">
      <w:pPr>
        <w:rPr>
          <w:rFonts w:ascii="Arial" w:hAnsi="Arial" w:cs="Arial"/>
          <w:sz w:val="22"/>
          <w:szCs w:val="22"/>
          <w:u w:val="single"/>
        </w:rPr>
      </w:pPr>
    </w:p>
    <w:p w14:paraId="1400A91D" w14:textId="181352E4" w:rsidR="000B4721" w:rsidRPr="00A95D6D" w:rsidRDefault="000B4721">
      <w:pPr>
        <w:rPr>
          <w:rFonts w:ascii="Arial" w:hAnsi="Arial" w:cs="Arial"/>
          <w:b/>
          <w:sz w:val="22"/>
          <w:szCs w:val="22"/>
        </w:rPr>
      </w:pPr>
    </w:p>
    <w:p w14:paraId="78648816" w14:textId="77777777" w:rsidR="002954C8" w:rsidRDefault="002954C8">
      <w:pPr>
        <w:pStyle w:val="Heading4"/>
        <w:rPr>
          <w:rFonts w:ascii="Arial" w:hAnsi="Arial" w:cs="Arial"/>
          <w:sz w:val="22"/>
          <w:szCs w:val="22"/>
        </w:rPr>
      </w:pPr>
    </w:p>
    <w:p w14:paraId="43C5A9EE" w14:textId="59E5BC6F" w:rsidR="000B4721" w:rsidRPr="00A95D6D" w:rsidRDefault="000B4721">
      <w:pPr>
        <w:pStyle w:val="Heading4"/>
        <w:rPr>
          <w:rFonts w:ascii="Arial" w:hAnsi="Arial" w:cs="Arial"/>
          <w:sz w:val="22"/>
          <w:szCs w:val="22"/>
        </w:rPr>
      </w:pPr>
      <w:r w:rsidRPr="00A95D6D">
        <w:rPr>
          <w:rFonts w:ascii="Arial" w:hAnsi="Arial" w:cs="Arial"/>
          <w:sz w:val="22"/>
          <w:szCs w:val="22"/>
        </w:rPr>
        <w:t>3.</w:t>
      </w:r>
      <w:r w:rsidR="00DE651C">
        <w:rPr>
          <w:rFonts w:ascii="Arial" w:hAnsi="Arial" w:cs="Arial"/>
          <w:sz w:val="22"/>
          <w:szCs w:val="22"/>
        </w:rPr>
        <w:t>1</w:t>
      </w:r>
      <w:r w:rsidRPr="00A95D6D">
        <w:rPr>
          <w:rFonts w:ascii="Arial" w:hAnsi="Arial" w:cs="Arial"/>
          <w:sz w:val="22"/>
          <w:szCs w:val="22"/>
        </w:rPr>
        <w:t xml:space="preserve"> </w:t>
      </w:r>
      <w:r w:rsidR="005E5DDC">
        <w:rPr>
          <w:rFonts w:ascii="Arial" w:hAnsi="Arial" w:cs="Arial"/>
          <w:sz w:val="22"/>
          <w:szCs w:val="22"/>
        </w:rPr>
        <w:t>Tendering</w:t>
      </w:r>
      <w:r w:rsidRPr="00A95D6D">
        <w:rPr>
          <w:rFonts w:ascii="Arial" w:hAnsi="Arial" w:cs="Arial"/>
          <w:sz w:val="22"/>
          <w:szCs w:val="22"/>
        </w:rPr>
        <w:t xml:space="preserve"> Procedures</w:t>
      </w:r>
      <w:r w:rsidR="00DE651C">
        <w:rPr>
          <w:rFonts w:ascii="Arial" w:hAnsi="Arial" w:cs="Arial"/>
          <w:sz w:val="22"/>
          <w:szCs w:val="22"/>
        </w:rPr>
        <w:t>.</w:t>
      </w:r>
    </w:p>
    <w:p w14:paraId="1114E5B5" w14:textId="77777777" w:rsidR="000B4721" w:rsidRPr="00A95D6D" w:rsidRDefault="000B4721">
      <w:pPr>
        <w:rPr>
          <w:rFonts w:ascii="Arial" w:hAnsi="Arial" w:cs="Arial"/>
          <w:sz w:val="22"/>
          <w:szCs w:val="22"/>
        </w:rPr>
      </w:pPr>
    </w:p>
    <w:p w14:paraId="69BD06DA" w14:textId="0B279857" w:rsidR="000B4721" w:rsidRPr="00A86EF3" w:rsidRDefault="000B4721">
      <w:pPr>
        <w:rPr>
          <w:rFonts w:ascii="Arial" w:hAnsi="Arial" w:cs="Arial"/>
          <w:sz w:val="22"/>
          <w:szCs w:val="22"/>
        </w:rPr>
      </w:pPr>
      <w:r w:rsidRPr="00A86EF3">
        <w:rPr>
          <w:rFonts w:ascii="Arial" w:hAnsi="Arial" w:cs="Arial"/>
          <w:sz w:val="22"/>
          <w:szCs w:val="22"/>
        </w:rPr>
        <w:t xml:space="preserve">Within the </w:t>
      </w:r>
      <w:r w:rsidR="00D44C48">
        <w:rPr>
          <w:rFonts w:ascii="Arial" w:hAnsi="Arial" w:cs="Arial"/>
          <w:sz w:val="22"/>
          <w:szCs w:val="22"/>
        </w:rPr>
        <w:t>Procurement Act 2023</w:t>
      </w:r>
      <w:r w:rsidR="00A86EF3" w:rsidRPr="00A86EF3">
        <w:rPr>
          <w:rFonts w:ascii="Arial" w:hAnsi="Arial" w:cs="Arial"/>
          <w:sz w:val="22"/>
          <w:szCs w:val="22"/>
        </w:rPr>
        <w:t xml:space="preserve"> </w:t>
      </w:r>
      <w:r w:rsidR="00D44C48">
        <w:rPr>
          <w:rFonts w:ascii="Arial" w:hAnsi="Arial" w:cs="Arial"/>
          <w:sz w:val="22"/>
          <w:szCs w:val="22"/>
        </w:rPr>
        <w:t xml:space="preserve">there are two </w:t>
      </w:r>
      <w:r w:rsidR="005E5DDC">
        <w:rPr>
          <w:rFonts w:ascii="Arial" w:hAnsi="Arial" w:cs="Arial"/>
          <w:sz w:val="22"/>
          <w:szCs w:val="22"/>
        </w:rPr>
        <w:t>tendering</w:t>
      </w:r>
      <w:r w:rsidR="00DE651C">
        <w:rPr>
          <w:rFonts w:ascii="Arial" w:hAnsi="Arial" w:cs="Arial"/>
          <w:sz w:val="22"/>
          <w:szCs w:val="22"/>
        </w:rPr>
        <w:t xml:space="preserve"> </w:t>
      </w:r>
      <w:r w:rsidR="00D44C48">
        <w:rPr>
          <w:rFonts w:ascii="Arial" w:hAnsi="Arial" w:cs="Arial"/>
          <w:sz w:val="22"/>
          <w:szCs w:val="22"/>
        </w:rPr>
        <w:t>procedure options</w:t>
      </w:r>
      <w:r w:rsidR="00DE651C">
        <w:rPr>
          <w:rFonts w:ascii="Arial" w:hAnsi="Arial" w:cs="Arial"/>
          <w:sz w:val="22"/>
          <w:szCs w:val="22"/>
        </w:rPr>
        <w:t>:</w:t>
      </w:r>
    </w:p>
    <w:p w14:paraId="13BCB895" w14:textId="77777777" w:rsidR="000B4721" w:rsidRPr="00A86EF3" w:rsidRDefault="000B4721">
      <w:pPr>
        <w:rPr>
          <w:rFonts w:ascii="Arial" w:hAnsi="Arial" w:cs="Arial"/>
          <w:sz w:val="22"/>
          <w:szCs w:val="22"/>
        </w:rPr>
      </w:pPr>
    </w:p>
    <w:p w14:paraId="4A01E85F" w14:textId="77777777" w:rsidR="000B4721" w:rsidRPr="00A86EF3" w:rsidRDefault="000B4721">
      <w:pPr>
        <w:rPr>
          <w:rFonts w:ascii="Arial" w:hAnsi="Arial" w:cs="Arial"/>
          <w:sz w:val="22"/>
          <w:szCs w:val="22"/>
        </w:rPr>
      </w:pPr>
      <w:r w:rsidRPr="00A86EF3">
        <w:rPr>
          <w:rFonts w:ascii="Arial" w:hAnsi="Arial" w:cs="Arial"/>
          <w:sz w:val="22"/>
          <w:szCs w:val="22"/>
        </w:rPr>
        <w:t xml:space="preserve">Open Procedure </w:t>
      </w:r>
    </w:p>
    <w:p w14:paraId="1D35A76A" w14:textId="0DEE0B1F" w:rsidR="0090611B" w:rsidRDefault="00DE651C">
      <w:pPr>
        <w:rPr>
          <w:rFonts w:ascii="Arial" w:hAnsi="Arial" w:cs="Arial"/>
          <w:sz w:val="22"/>
          <w:szCs w:val="22"/>
        </w:rPr>
      </w:pPr>
      <w:r>
        <w:rPr>
          <w:rFonts w:ascii="Arial" w:hAnsi="Arial" w:cs="Arial"/>
          <w:sz w:val="22"/>
          <w:szCs w:val="22"/>
        </w:rPr>
        <w:t>Competitive Flexible Procedure</w:t>
      </w:r>
    </w:p>
    <w:p w14:paraId="18A03C61" w14:textId="77777777" w:rsidR="00DE15D5" w:rsidRDefault="00DE15D5">
      <w:pPr>
        <w:rPr>
          <w:rFonts w:ascii="Arial" w:hAnsi="Arial" w:cs="Arial"/>
          <w:sz w:val="22"/>
          <w:szCs w:val="22"/>
        </w:rPr>
      </w:pPr>
    </w:p>
    <w:p w14:paraId="67CAA6B9" w14:textId="359E82F9" w:rsidR="00DE15D5" w:rsidRPr="00DE15D5" w:rsidRDefault="00DE15D5" w:rsidP="00DE15D5">
      <w:pPr>
        <w:pStyle w:val="ListParagraph"/>
        <w:numPr>
          <w:ilvl w:val="0"/>
          <w:numId w:val="23"/>
        </w:numPr>
        <w:rPr>
          <w:rFonts w:ascii="Arial" w:hAnsi="Arial" w:cs="Arial"/>
          <w:sz w:val="22"/>
          <w:szCs w:val="22"/>
        </w:rPr>
      </w:pPr>
      <w:r>
        <w:rPr>
          <w:rFonts w:ascii="Arial" w:hAnsi="Arial" w:cs="Arial"/>
          <w:sz w:val="22"/>
          <w:szCs w:val="22"/>
        </w:rPr>
        <w:t>Open Procedure</w:t>
      </w:r>
    </w:p>
    <w:p w14:paraId="5BB2A074" w14:textId="77777777" w:rsidR="000B4721" w:rsidRPr="00A14DFE" w:rsidRDefault="000B4721">
      <w:pPr>
        <w:rPr>
          <w:rFonts w:ascii="Arial" w:hAnsi="Arial" w:cs="Arial"/>
          <w:sz w:val="22"/>
          <w:szCs w:val="22"/>
          <w:highlight w:val="yellow"/>
        </w:rPr>
      </w:pPr>
    </w:p>
    <w:p w14:paraId="79E27D06" w14:textId="002D5498" w:rsidR="005E5DDC" w:rsidRDefault="005E5DDC" w:rsidP="005E5DDC">
      <w:pPr>
        <w:autoSpaceDE w:val="0"/>
        <w:autoSpaceDN w:val="0"/>
        <w:adjustRightInd w:val="0"/>
        <w:rPr>
          <w:rFonts w:ascii="Arial" w:hAnsi="Arial" w:cs="Arial"/>
          <w:sz w:val="22"/>
          <w:szCs w:val="22"/>
          <w:highlight w:val="yellow"/>
        </w:rPr>
      </w:pPr>
      <w:r>
        <w:rPr>
          <w:rFonts w:ascii="ArialMT" w:hAnsi="ArialMT" w:cs="ArialMT"/>
          <w:sz w:val="22"/>
          <w:szCs w:val="22"/>
        </w:rPr>
        <w:t xml:space="preserve">In the case of the open procedure, the tender notice is the ‘invitation to tender’ as it invites all interested suppliers to submit a tender. Where used, any associated tender documents would also need to be provided through the central digital platform at the outset of the procurement </w:t>
      </w:r>
      <w:r w:rsidR="00BA40E7">
        <w:rPr>
          <w:rFonts w:ascii="ArialMT" w:hAnsi="ArialMT" w:cs="ArialMT"/>
          <w:sz w:val="22"/>
          <w:szCs w:val="22"/>
        </w:rPr>
        <w:t xml:space="preserve">to </w:t>
      </w:r>
      <w:r>
        <w:rPr>
          <w:rFonts w:ascii="ArialMT" w:hAnsi="ArialMT" w:cs="ArialMT"/>
          <w:sz w:val="22"/>
          <w:szCs w:val="22"/>
        </w:rPr>
        <w:t>enable the tendering period to commence. This can be achieved either by attaching the documents to the tender notice or by providing a direct link to the web page where the documents are provided.</w:t>
      </w:r>
    </w:p>
    <w:p w14:paraId="2CF12E8E" w14:textId="77777777" w:rsidR="005E5DDC" w:rsidRDefault="005E5DDC" w:rsidP="005E5DDC">
      <w:pPr>
        <w:autoSpaceDE w:val="0"/>
        <w:autoSpaceDN w:val="0"/>
        <w:adjustRightInd w:val="0"/>
        <w:rPr>
          <w:rFonts w:ascii="Arial" w:hAnsi="Arial" w:cs="Arial"/>
          <w:sz w:val="22"/>
          <w:szCs w:val="22"/>
          <w:highlight w:val="yellow"/>
        </w:rPr>
      </w:pPr>
    </w:p>
    <w:p w14:paraId="721861FE" w14:textId="65DD8029" w:rsidR="00FD03F9" w:rsidRPr="005E5DDC" w:rsidRDefault="000B4721" w:rsidP="005E5DDC">
      <w:pPr>
        <w:autoSpaceDE w:val="0"/>
        <w:autoSpaceDN w:val="0"/>
        <w:adjustRightInd w:val="0"/>
        <w:rPr>
          <w:rFonts w:ascii="ArialMT" w:hAnsi="ArialMT" w:cs="ArialMT"/>
          <w:sz w:val="22"/>
          <w:szCs w:val="22"/>
        </w:rPr>
      </w:pPr>
      <w:r w:rsidRPr="00DC20B4">
        <w:rPr>
          <w:rFonts w:ascii="Arial" w:hAnsi="Arial" w:cs="Arial"/>
          <w:sz w:val="22"/>
          <w:szCs w:val="22"/>
        </w:rPr>
        <w:t>Under this procedure</w:t>
      </w:r>
      <w:r w:rsidR="00380480" w:rsidRPr="00DC20B4">
        <w:rPr>
          <w:rFonts w:ascii="Arial" w:hAnsi="Arial" w:cs="Arial"/>
          <w:sz w:val="22"/>
          <w:szCs w:val="22"/>
        </w:rPr>
        <w:t>, and where the Council facilitates electronic tender submission, t</w:t>
      </w:r>
      <w:r w:rsidRPr="00DC20B4">
        <w:rPr>
          <w:rFonts w:ascii="Arial" w:hAnsi="Arial" w:cs="Arial"/>
          <w:sz w:val="22"/>
          <w:szCs w:val="22"/>
        </w:rPr>
        <w:t>he contract must be advertised</w:t>
      </w:r>
      <w:r w:rsidR="00380480" w:rsidRPr="00DC20B4">
        <w:rPr>
          <w:rFonts w:ascii="Arial" w:hAnsi="Arial" w:cs="Arial"/>
          <w:sz w:val="22"/>
          <w:szCs w:val="22"/>
        </w:rPr>
        <w:t xml:space="preserve"> in </w:t>
      </w:r>
      <w:r w:rsidR="00FD03F9" w:rsidRPr="00DC20B4">
        <w:rPr>
          <w:rFonts w:ascii="Arial" w:hAnsi="Arial" w:cs="Arial"/>
          <w:sz w:val="22"/>
          <w:szCs w:val="22"/>
        </w:rPr>
        <w:t xml:space="preserve">the </w:t>
      </w:r>
      <w:r w:rsidR="00C33D75" w:rsidRPr="00DC20B4">
        <w:rPr>
          <w:rFonts w:ascii="Arial" w:hAnsi="Arial" w:cs="Arial"/>
          <w:sz w:val="22"/>
          <w:szCs w:val="22"/>
        </w:rPr>
        <w:t>FT</w:t>
      </w:r>
      <w:r w:rsidR="00FD03F9" w:rsidRPr="00DC20B4">
        <w:rPr>
          <w:rFonts w:ascii="Arial" w:hAnsi="Arial" w:cs="Arial"/>
          <w:sz w:val="22"/>
          <w:szCs w:val="22"/>
        </w:rPr>
        <w:t>S on the Central Digital Platform for</w:t>
      </w:r>
      <w:r w:rsidR="00380480" w:rsidRPr="00DC20B4">
        <w:rPr>
          <w:rFonts w:ascii="Arial" w:hAnsi="Arial" w:cs="Arial"/>
          <w:sz w:val="22"/>
          <w:szCs w:val="22"/>
        </w:rPr>
        <w:t xml:space="preserve"> </w:t>
      </w:r>
      <w:r w:rsidR="00FD03F9" w:rsidRPr="00DC20B4">
        <w:rPr>
          <w:rFonts w:ascii="Arial" w:hAnsi="Arial" w:cs="Arial"/>
          <w:sz w:val="22"/>
          <w:szCs w:val="22"/>
        </w:rPr>
        <w:t>a25 day</w:t>
      </w:r>
      <w:r w:rsidR="00FD03F9" w:rsidRPr="00CB7C00">
        <w:rPr>
          <w:rFonts w:ascii="Arial" w:hAnsi="Arial" w:cs="Arial"/>
          <w:sz w:val="22"/>
          <w:szCs w:val="22"/>
        </w:rPr>
        <w:t xml:space="preserve"> minimum tendering period where tenders are submitted electronically and all</w:t>
      </w:r>
      <w:r w:rsidR="00FD03F9">
        <w:rPr>
          <w:rFonts w:ascii="Arial" w:hAnsi="Arial" w:cs="Arial"/>
          <w:sz w:val="22"/>
          <w:szCs w:val="22"/>
        </w:rPr>
        <w:t xml:space="preserve"> </w:t>
      </w:r>
      <w:r w:rsidR="00FD03F9" w:rsidRPr="00CB7C00">
        <w:rPr>
          <w:rFonts w:ascii="Arial" w:hAnsi="Arial" w:cs="Arial"/>
          <w:sz w:val="22"/>
          <w:szCs w:val="22"/>
        </w:rPr>
        <w:t>of the associated tender documents are provided at the same time as the tender</w:t>
      </w:r>
      <w:r w:rsidR="00FD03F9">
        <w:rPr>
          <w:rFonts w:ascii="Arial" w:hAnsi="Arial" w:cs="Arial"/>
          <w:sz w:val="22"/>
          <w:szCs w:val="22"/>
        </w:rPr>
        <w:t xml:space="preserve"> </w:t>
      </w:r>
      <w:r w:rsidR="00FD03F9" w:rsidRPr="00CB7C00">
        <w:rPr>
          <w:rFonts w:ascii="Arial" w:hAnsi="Arial" w:cs="Arial"/>
          <w:sz w:val="22"/>
          <w:szCs w:val="22"/>
        </w:rPr>
        <w:t>notice.</w:t>
      </w:r>
    </w:p>
    <w:p w14:paraId="1B2497BE" w14:textId="154842DE" w:rsidR="00FD03F9" w:rsidRPr="00CB7C00" w:rsidRDefault="00FD03F9" w:rsidP="00FD03F9">
      <w:pPr>
        <w:autoSpaceDE w:val="0"/>
        <w:autoSpaceDN w:val="0"/>
        <w:adjustRightInd w:val="0"/>
        <w:rPr>
          <w:rFonts w:ascii="Arial" w:hAnsi="Arial" w:cs="Arial"/>
          <w:sz w:val="22"/>
          <w:szCs w:val="22"/>
        </w:rPr>
      </w:pPr>
      <w:r>
        <w:rPr>
          <w:rFonts w:ascii="Arial" w:hAnsi="Arial" w:cs="Arial"/>
          <w:sz w:val="22"/>
          <w:szCs w:val="22"/>
        </w:rPr>
        <w:t>Or,</w:t>
      </w:r>
      <w:r w:rsidRPr="00CB7C00">
        <w:rPr>
          <w:rFonts w:ascii="Arial" w:hAnsi="Arial" w:cs="Arial"/>
          <w:sz w:val="22"/>
          <w:szCs w:val="22"/>
        </w:rPr>
        <w:t>30 day minimum tendering period where tenders are submitted electronically but not</w:t>
      </w:r>
      <w:r>
        <w:rPr>
          <w:rFonts w:ascii="Arial" w:hAnsi="Arial" w:cs="Arial"/>
          <w:sz w:val="22"/>
          <w:szCs w:val="22"/>
        </w:rPr>
        <w:t xml:space="preserve"> </w:t>
      </w:r>
      <w:r w:rsidRPr="00CB7C00">
        <w:rPr>
          <w:rFonts w:ascii="Arial" w:hAnsi="Arial" w:cs="Arial"/>
          <w:sz w:val="22"/>
          <w:szCs w:val="22"/>
        </w:rPr>
        <w:t>all of the associated tender documents are provided at the same time as the tender</w:t>
      </w:r>
      <w:r>
        <w:rPr>
          <w:rFonts w:ascii="Arial" w:hAnsi="Arial" w:cs="Arial"/>
          <w:sz w:val="22"/>
          <w:szCs w:val="22"/>
        </w:rPr>
        <w:t xml:space="preserve"> </w:t>
      </w:r>
      <w:r w:rsidRPr="00CB7C00">
        <w:rPr>
          <w:rFonts w:ascii="Arial" w:hAnsi="Arial" w:cs="Arial"/>
          <w:sz w:val="22"/>
          <w:szCs w:val="22"/>
        </w:rPr>
        <w:t>notice.</w:t>
      </w:r>
    </w:p>
    <w:p w14:paraId="52987288" w14:textId="65BEB74A" w:rsidR="00FD03F9" w:rsidRPr="00CB7C00" w:rsidRDefault="000B4721" w:rsidP="00FD03F9">
      <w:pPr>
        <w:autoSpaceDE w:val="0"/>
        <w:autoSpaceDN w:val="0"/>
        <w:adjustRightInd w:val="0"/>
        <w:rPr>
          <w:rFonts w:ascii="Arial" w:hAnsi="Arial" w:cs="Arial"/>
          <w:sz w:val="22"/>
          <w:szCs w:val="22"/>
        </w:rPr>
      </w:pPr>
      <w:r w:rsidRPr="00DC20B4">
        <w:rPr>
          <w:rFonts w:ascii="Arial" w:hAnsi="Arial" w:cs="Arial"/>
          <w:sz w:val="22"/>
          <w:szCs w:val="22"/>
        </w:rPr>
        <w:t xml:space="preserve">. </w:t>
      </w:r>
      <w:r w:rsidR="00FD03F9" w:rsidRPr="00FD03F9">
        <w:rPr>
          <w:rFonts w:ascii="Arial" w:hAnsi="Arial" w:cs="Arial"/>
          <w:sz w:val="22"/>
          <w:szCs w:val="22"/>
        </w:rPr>
        <w:t xml:space="preserve">There is a </w:t>
      </w:r>
      <w:r w:rsidR="00FD03F9" w:rsidRPr="00CB7C00">
        <w:rPr>
          <w:rFonts w:ascii="Arial" w:hAnsi="Arial" w:cs="Arial"/>
          <w:sz w:val="22"/>
          <w:szCs w:val="22"/>
        </w:rPr>
        <w:t>10 day minimum tendering period where a qualifying planned procurement notice has</w:t>
      </w:r>
    </w:p>
    <w:p w14:paraId="3D6E9AAE" w14:textId="77777777" w:rsidR="00FD03F9" w:rsidRPr="00CB7C00" w:rsidRDefault="00FD03F9" w:rsidP="00FD03F9">
      <w:pPr>
        <w:autoSpaceDE w:val="0"/>
        <w:autoSpaceDN w:val="0"/>
        <w:adjustRightInd w:val="0"/>
        <w:rPr>
          <w:rFonts w:ascii="Arial" w:hAnsi="Arial" w:cs="Arial"/>
          <w:sz w:val="22"/>
          <w:szCs w:val="22"/>
        </w:rPr>
      </w:pPr>
      <w:r w:rsidRPr="00CB7C00">
        <w:rPr>
          <w:rFonts w:ascii="Arial" w:hAnsi="Arial" w:cs="Arial"/>
          <w:sz w:val="22"/>
          <w:szCs w:val="22"/>
        </w:rPr>
        <w:t>been published. A qualifying planned procurement notice is a planned procurement</w:t>
      </w:r>
    </w:p>
    <w:p w14:paraId="5730E5CB" w14:textId="77777777" w:rsidR="00FD03F9" w:rsidRPr="00CB7C00" w:rsidRDefault="00FD03F9" w:rsidP="00FD03F9">
      <w:pPr>
        <w:autoSpaceDE w:val="0"/>
        <w:autoSpaceDN w:val="0"/>
        <w:adjustRightInd w:val="0"/>
        <w:rPr>
          <w:rFonts w:ascii="Arial" w:hAnsi="Arial" w:cs="Arial"/>
          <w:sz w:val="22"/>
          <w:szCs w:val="22"/>
        </w:rPr>
      </w:pPr>
      <w:r w:rsidRPr="00CB7C00">
        <w:rPr>
          <w:rFonts w:ascii="Arial" w:hAnsi="Arial" w:cs="Arial"/>
          <w:sz w:val="22"/>
          <w:szCs w:val="22"/>
        </w:rPr>
        <w:t>notice that is published at least 40 days and no more than 12 months before the</w:t>
      </w:r>
    </w:p>
    <w:p w14:paraId="053BF8AE" w14:textId="6354D8FA" w:rsidR="00DE651C" w:rsidRDefault="00FD03F9" w:rsidP="00CB7C00">
      <w:pPr>
        <w:autoSpaceDE w:val="0"/>
        <w:autoSpaceDN w:val="0"/>
        <w:adjustRightInd w:val="0"/>
        <w:rPr>
          <w:rFonts w:ascii="Arial" w:hAnsi="Arial" w:cs="Arial"/>
          <w:sz w:val="22"/>
          <w:szCs w:val="22"/>
          <w:highlight w:val="yellow"/>
        </w:rPr>
      </w:pPr>
      <w:r w:rsidRPr="00CB7C00">
        <w:rPr>
          <w:rFonts w:ascii="Arial" w:hAnsi="Arial" w:cs="Arial"/>
          <w:sz w:val="22"/>
          <w:szCs w:val="22"/>
        </w:rPr>
        <w:t>tender notice</w:t>
      </w:r>
      <w:r>
        <w:rPr>
          <w:rFonts w:ascii="Arial" w:hAnsi="Arial" w:cs="Arial"/>
          <w:sz w:val="22"/>
          <w:szCs w:val="22"/>
        </w:rPr>
        <w:t>.</w:t>
      </w:r>
    </w:p>
    <w:p w14:paraId="7271F165" w14:textId="77777777" w:rsidR="00DE651C" w:rsidRDefault="00DE651C" w:rsidP="00056C00">
      <w:pPr>
        <w:rPr>
          <w:rFonts w:ascii="Arial" w:hAnsi="Arial" w:cs="Arial"/>
          <w:sz w:val="22"/>
          <w:szCs w:val="22"/>
          <w:highlight w:val="yellow"/>
        </w:rPr>
      </w:pPr>
    </w:p>
    <w:p w14:paraId="0A23D075" w14:textId="77777777" w:rsidR="00DE651C" w:rsidRPr="00DC20B4" w:rsidRDefault="00DE651C" w:rsidP="00DE651C">
      <w:pPr>
        <w:pStyle w:val="ListParagraph"/>
        <w:numPr>
          <w:ilvl w:val="0"/>
          <w:numId w:val="20"/>
        </w:numPr>
        <w:rPr>
          <w:rFonts w:ascii="Arial" w:hAnsi="Arial" w:cs="Arial"/>
          <w:sz w:val="22"/>
          <w:szCs w:val="22"/>
        </w:rPr>
      </w:pPr>
      <w:r w:rsidRPr="00DC20B4">
        <w:rPr>
          <w:rFonts w:ascii="Arial" w:hAnsi="Arial" w:cs="Arial"/>
          <w:sz w:val="22"/>
          <w:szCs w:val="22"/>
        </w:rPr>
        <w:t>Competitive Flexible Procedure</w:t>
      </w:r>
    </w:p>
    <w:p w14:paraId="4C07B658" w14:textId="77777777" w:rsidR="00DE651C" w:rsidRDefault="00DE651C" w:rsidP="00DE651C">
      <w:pPr>
        <w:rPr>
          <w:rFonts w:ascii="Arial" w:hAnsi="Arial" w:cs="Arial"/>
          <w:sz w:val="22"/>
          <w:szCs w:val="22"/>
          <w:highlight w:val="yellow"/>
        </w:rPr>
      </w:pPr>
    </w:p>
    <w:p w14:paraId="03E98EC7" w14:textId="4914ECD9" w:rsidR="00BA40E7" w:rsidRDefault="005E5DDC" w:rsidP="005E5DDC">
      <w:pPr>
        <w:autoSpaceDE w:val="0"/>
        <w:autoSpaceDN w:val="0"/>
        <w:adjustRightInd w:val="0"/>
        <w:rPr>
          <w:rFonts w:ascii="Arial" w:hAnsi="Arial" w:cs="Arial"/>
          <w:sz w:val="22"/>
          <w:szCs w:val="22"/>
        </w:rPr>
      </w:pPr>
      <w:r w:rsidRPr="00CB7C00">
        <w:rPr>
          <w:rFonts w:ascii="Arial" w:hAnsi="Arial" w:cs="Arial"/>
          <w:sz w:val="22"/>
          <w:szCs w:val="22"/>
        </w:rPr>
        <w:t>In contrast to an open procedure, a competitive flexible procedure will be multi-staged and</w:t>
      </w:r>
      <w:r>
        <w:rPr>
          <w:rFonts w:ascii="Arial" w:hAnsi="Arial" w:cs="Arial"/>
          <w:sz w:val="22"/>
          <w:szCs w:val="22"/>
        </w:rPr>
        <w:t xml:space="preserve"> </w:t>
      </w:r>
      <w:r w:rsidRPr="00CB7C00">
        <w:rPr>
          <w:rFonts w:ascii="Arial" w:hAnsi="Arial" w:cs="Arial"/>
          <w:sz w:val="22"/>
          <w:szCs w:val="22"/>
        </w:rPr>
        <w:t>therefore contracting authorities can (under section 20(4)(a)) limit the number of suppliers</w:t>
      </w:r>
      <w:r>
        <w:rPr>
          <w:rFonts w:ascii="Arial" w:hAnsi="Arial" w:cs="Arial"/>
          <w:sz w:val="22"/>
          <w:szCs w:val="22"/>
        </w:rPr>
        <w:t xml:space="preserve"> </w:t>
      </w:r>
      <w:r w:rsidRPr="00CB7C00">
        <w:rPr>
          <w:rFonts w:ascii="Arial" w:hAnsi="Arial" w:cs="Arial"/>
          <w:sz w:val="22"/>
          <w:szCs w:val="22"/>
        </w:rPr>
        <w:t xml:space="preserve">participating in a procurement or progressing to the next stage. </w:t>
      </w:r>
    </w:p>
    <w:p w14:paraId="273C81F8" w14:textId="77777777" w:rsidR="00BA40E7" w:rsidRDefault="00BA40E7" w:rsidP="005E5DDC">
      <w:pPr>
        <w:autoSpaceDE w:val="0"/>
        <w:autoSpaceDN w:val="0"/>
        <w:adjustRightInd w:val="0"/>
        <w:rPr>
          <w:rFonts w:ascii="Arial" w:hAnsi="Arial" w:cs="Arial"/>
          <w:sz w:val="22"/>
          <w:szCs w:val="22"/>
        </w:rPr>
      </w:pPr>
    </w:p>
    <w:p w14:paraId="2F12EEDB" w14:textId="3FCA7B1D" w:rsidR="005E5DDC" w:rsidRDefault="00BA40E7" w:rsidP="005E5DDC">
      <w:pPr>
        <w:autoSpaceDE w:val="0"/>
        <w:autoSpaceDN w:val="0"/>
        <w:adjustRightInd w:val="0"/>
        <w:rPr>
          <w:rFonts w:ascii="Arial" w:hAnsi="Arial" w:cs="Arial"/>
          <w:sz w:val="22"/>
          <w:szCs w:val="22"/>
        </w:rPr>
      </w:pPr>
      <w:r>
        <w:rPr>
          <w:rFonts w:ascii="Arial" w:hAnsi="Arial" w:cs="Arial"/>
          <w:sz w:val="22"/>
          <w:szCs w:val="22"/>
        </w:rPr>
        <w:t>T</w:t>
      </w:r>
      <w:r w:rsidR="005E5DDC" w:rsidRPr="00CB7C00">
        <w:rPr>
          <w:rFonts w:ascii="Arial" w:hAnsi="Arial" w:cs="Arial"/>
          <w:sz w:val="22"/>
          <w:szCs w:val="22"/>
        </w:rPr>
        <w:t>he process</w:t>
      </w:r>
      <w:r w:rsidR="005E5DDC">
        <w:rPr>
          <w:rFonts w:ascii="Arial" w:hAnsi="Arial" w:cs="Arial"/>
          <w:sz w:val="22"/>
          <w:szCs w:val="22"/>
        </w:rPr>
        <w:t xml:space="preserve"> </w:t>
      </w:r>
      <w:r w:rsidR="005E5DDC" w:rsidRPr="00CB7C00">
        <w:rPr>
          <w:rFonts w:ascii="Arial" w:hAnsi="Arial" w:cs="Arial"/>
          <w:sz w:val="22"/>
          <w:szCs w:val="22"/>
        </w:rPr>
        <w:t>of limiting the number of suppliers (following submission of a request to participate) by</w:t>
      </w:r>
      <w:r w:rsidR="005E5DDC">
        <w:rPr>
          <w:rFonts w:ascii="Arial" w:hAnsi="Arial" w:cs="Arial"/>
          <w:sz w:val="22"/>
          <w:szCs w:val="22"/>
        </w:rPr>
        <w:t xml:space="preserve"> </w:t>
      </w:r>
      <w:r w:rsidR="005E5DDC" w:rsidRPr="00CB7C00">
        <w:rPr>
          <w:rFonts w:ascii="Arial" w:hAnsi="Arial" w:cs="Arial"/>
          <w:sz w:val="22"/>
          <w:szCs w:val="22"/>
        </w:rPr>
        <w:t>assessing conditions of participation and/or any other objective criteria set out in the tender</w:t>
      </w:r>
      <w:r w:rsidR="005E5DDC">
        <w:rPr>
          <w:rFonts w:ascii="Arial" w:hAnsi="Arial" w:cs="Arial"/>
          <w:sz w:val="22"/>
          <w:szCs w:val="22"/>
        </w:rPr>
        <w:t xml:space="preserve"> </w:t>
      </w:r>
      <w:r w:rsidR="005E5DDC" w:rsidRPr="00CB7C00">
        <w:rPr>
          <w:rFonts w:ascii="Arial" w:hAnsi="Arial" w:cs="Arial"/>
          <w:sz w:val="22"/>
          <w:szCs w:val="22"/>
        </w:rPr>
        <w:t>notice or associated tender documents is referred to as the ‘participation stage’.</w:t>
      </w:r>
    </w:p>
    <w:p w14:paraId="252A5CFA" w14:textId="77777777" w:rsidR="005E5DDC" w:rsidRPr="00CB7C00" w:rsidRDefault="005E5DDC" w:rsidP="005E5DDC">
      <w:pPr>
        <w:autoSpaceDE w:val="0"/>
        <w:autoSpaceDN w:val="0"/>
        <w:adjustRightInd w:val="0"/>
        <w:rPr>
          <w:rFonts w:ascii="Arial" w:hAnsi="Arial" w:cs="Arial"/>
          <w:sz w:val="22"/>
          <w:szCs w:val="22"/>
        </w:rPr>
      </w:pPr>
    </w:p>
    <w:p w14:paraId="6EC2621F" w14:textId="3F2D1E5E" w:rsidR="009728C3" w:rsidRPr="00CB7C00" w:rsidRDefault="005E5DDC" w:rsidP="00CB7C00">
      <w:pPr>
        <w:autoSpaceDE w:val="0"/>
        <w:autoSpaceDN w:val="0"/>
        <w:adjustRightInd w:val="0"/>
        <w:rPr>
          <w:rFonts w:ascii="Arial" w:hAnsi="Arial" w:cs="Arial"/>
          <w:sz w:val="22"/>
          <w:szCs w:val="22"/>
        </w:rPr>
      </w:pPr>
      <w:r w:rsidRPr="00CB7C00">
        <w:rPr>
          <w:rFonts w:ascii="Arial" w:hAnsi="Arial" w:cs="Arial"/>
          <w:sz w:val="22"/>
          <w:szCs w:val="22"/>
        </w:rPr>
        <w:t>The competitive flexible procedure allows the contracting authority the freedom to design its</w:t>
      </w:r>
      <w:r w:rsidR="00BA40E7">
        <w:rPr>
          <w:rFonts w:ascii="Arial" w:hAnsi="Arial" w:cs="Arial"/>
          <w:sz w:val="22"/>
          <w:szCs w:val="22"/>
        </w:rPr>
        <w:t xml:space="preserve"> </w:t>
      </w:r>
      <w:r w:rsidRPr="00CB7C00">
        <w:rPr>
          <w:rFonts w:ascii="Arial" w:hAnsi="Arial" w:cs="Arial"/>
          <w:sz w:val="22"/>
          <w:szCs w:val="22"/>
        </w:rPr>
        <w:t>own procedure. The contracting authority may choose to incorporate numerous processes</w:t>
      </w:r>
      <w:r w:rsidR="00BA40E7">
        <w:rPr>
          <w:rFonts w:ascii="Arial" w:hAnsi="Arial" w:cs="Arial"/>
          <w:sz w:val="22"/>
          <w:szCs w:val="22"/>
        </w:rPr>
        <w:t xml:space="preserve"> </w:t>
      </w:r>
      <w:r w:rsidRPr="00CB7C00">
        <w:rPr>
          <w:rFonts w:ascii="Arial" w:hAnsi="Arial" w:cs="Arial"/>
          <w:sz w:val="22"/>
          <w:szCs w:val="22"/>
        </w:rPr>
        <w:t>into the procedure, such as negotiation, dialogue or a demonstration stage</w:t>
      </w:r>
      <w:r w:rsidR="00812774">
        <w:rPr>
          <w:rFonts w:ascii="Arial" w:hAnsi="Arial" w:cs="Arial"/>
          <w:sz w:val="22"/>
          <w:szCs w:val="22"/>
        </w:rPr>
        <w:t>.</w:t>
      </w:r>
    </w:p>
    <w:p w14:paraId="712ADDCA" w14:textId="77777777" w:rsidR="00DE651C" w:rsidRPr="005E5DDC" w:rsidRDefault="00DE651C" w:rsidP="00056C00">
      <w:pPr>
        <w:rPr>
          <w:rFonts w:ascii="Arial" w:hAnsi="Arial" w:cs="Arial"/>
          <w:sz w:val="22"/>
          <w:szCs w:val="22"/>
          <w:highlight w:val="yellow"/>
        </w:rPr>
      </w:pPr>
    </w:p>
    <w:p w14:paraId="08EAD69D" w14:textId="0EDF9F3C" w:rsidR="00812774" w:rsidRDefault="00812774" w:rsidP="00812774">
      <w:pPr>
        <w:autoSpaceDE w:val="0"/>
        <w:autoSpaceDN w:val="0"/>
        <w:adjustRightInd w:val="0"/>
        <w:rPr>
          <w:rFonts w:ascii="ArialMT" w:hAnsi="ArialMT" w:cs="ArialMT"/>
          <w:sz w:val="22"/>
          <w:szCs w:val="22"/>
        </w:rPr>
      </w:pPr>
      <w:r>
        <w:rPr>
          <w:rFonts w:ascii="ArialMT" w:hAnsi="ArialMT" w:cs="ArialMT"/>
          <w:sz w:val="22"/>
          <w:szCs w:val="22"/>
        </w:rPr>
        <w:t>In a competitive flexible procedure there may be a separate participation stage to limit the</w:t>
      </w:r>
      <w:r w:rsidR="002C4062">
        <w:rPr>
          <w:rFonts w:ascii="ArialMT" w:hAnsi="ArialMT" w:cs="ArialMT"/>
          <w:sz w:val="22"/>
          <w:szCs w:val="22"/>
        </w:rPr>
        <w:t xml:space="preserve"> </w:t>
      </w:r>
      <w:r>
        <w:rPr>
          <w:rFonts w:ascii="ArialMT" w:hAnsi="ArialMT" w:cs="ArialMT"/>
          <w:sz w:val="22"/>
          <w:szCs w:val="22"/>
        </w:rPr>
        <w:t>number of suppliers invited to participate further in the procedure (this is akin to a selection</w:t>
      </w:r>
      <w:r w:rsidR="002C4062">
        <w:rPr>
          <w:rFonts w:ascii="ArialMT" w:hAnsi="ArialMT" w:cs="ArialMT"/>
          <w:sz w:val="22"/>
          <w:szCs w:val="22"/>
        </w:rPr>
        <w:t xml:space="preserve"> </w:t>
      </w:r>
      <w:r>
        <w:rPr>
          <w:rFonts w:ascii="ArialMT" w:hAnsi="ArialMT" w:cs="ArialMT"/>
          <w:sz w:val="22"/>
          <w:szCs w:val="22"/>
        </w:rPr>
        <w:t>stage in the previous legislation).</w:t>
      </w:r>
    </w:p>
    <w:p w14:paraId="537AA035" w14:textId="77777777" w:rsidR="002C4062" w:rsidRDefault="002C4062" w:rsidP="00812774">
      <w:pPr>
        <w:autoSpaceDE w:val="0"/>
        <w:autoSpaceDN w:val="0"/>
        <w:adjustRightInd w:val="0"/>
        <w:rPr>
          <w:rFonts w:ascii="ArialMT" w:hAnsi="ArialMT" w:cs="ArialMT"/>
          <w:sz w:val="22"/>
          <w:szCs w:val="22"/>
        </w:rPr>
      </w:pPr>
    </w:p>
    <w:p w14:paraId="07EA5115" w14:textId="40D427E1" w:rsidR="00812774" w:rsidRDefault="00812774" w:rsidP="00812774">
      <w:pPr>
        <w:autoSpaceDE w:val="0"/>
        <w:autoSpaceDN w:val="0"/>
        <w:adjustRightInd w:val="0"/>
        <w:rPr>
          <w:rFonts w:ascii="ArialMT" w:hAnsi="ArialMT" w:cs="ArialMT"/>
          <w:sz w:val="22"/>
          <w:szCs w:val="22"/>
        </w:rPr>
      </w:pPr>
      <w:r>
        <w:rPr>
          <w:rFonts w:ascii="ArialMT" w:hAnsi="ArialMT" w:cs="ArialMT"/>
          <w:sz w:val="22"/>
          <w:szCs w:val="22"/>
        </w:rPr>
        <w:t>The contracting authority will invite suppliers to submit requests to participate by publishing a</w:t>
      </w:r>
      <w:r w:rsidR="002C4062">
        <w:rPr>
          <w:rFonts w:ascii="ArialMT" w:hAnsi="ArialMT" w:cs="ArialMT"/>
          <w:sz w:val="22"/>
          <w:szCs w:val="22"/>
        </w:rPr>
        <w:t xml:space="preserve"> </w:t>
      </w:r>
      <w:r>
        <w:rPr>
          <w:rFonts w:ascii="ArialMT" w:hAnsi="ArialMT" w:cs="ArialMT"/>
          <w:sz w:val="22"/>
          <w:szCs w:val="22"/>
        </w:rPr>
        <w:t>tender notice, detailing the conditions of participation and any other criteria by which the</w:t>
      </w:r>
      <w:r w:rsidR="002C4062">
        <w:rPr>
          <w:rFonts w:ascii="ArialMT" w:hAnsi="ArialMT" w:cs="ArialMT"/>
          <w:sz w:val="22"/>
          <w:szCs w:val="22"/>
        </w:rPr>
        <w:t xml:space="preserve"> </w:t>
      </w:r>
      <w:r>
        <w:rPr>
          <w:rFonts w:ascii="ArialMT" w:hAnsi="ArialMT" w:cs="ArialMT"/>
          <w:sz w:val="22"/>
          <w:szCs w:val="22"/>
        </w:rPr>
        <w:t>number of suppliers may be limited</w:t>
      </w:r>
      <w:r>
        <w:rPr>
          <w:rFonts w:ascii="ArialMT" w:hAnsi="ArialMT" w:cs="ArialMT"/>
          <w:sz w:val="14"/>
          <w:szCs w:val="14"/>
        </w:rPr>
        <w:t>1</w:t>
      </w:r>
      <w:r>
        <w:rPr>
          <w:rFonts w:ascii="ArialMT" w:hAnsi="ArialMT" w:cs="ArialMT"/>
          <w:sz w:val="22"/>
          <w:szCs w:val="22"/>
        </w:rPr>
        <w:t>. The participation period starts with the day after a</w:t>
      </w:r>
      <w:r w:rsidR="002C4062">
        <w:rPr>
          <w:rFonts w:ascii="ArialMT" w:hAnsi="ArialMT" w:cs="ArialMT"/>
          <w:sz w:val="22"/>
          <w:szCs w:val="22"/>
        </w:rPr>
        <w:t xml:space="preserve"> </w:t>
      </w:r>
      <w:r>
        <w:rPr>
          <w:rFonts w:ascii="ArialMT" w:hAnsi="ArialMT" w:cs="ArialMT"/>
          <w:sz w:val="22"/>
          <w:szCs w:val="22"/>
        </w:rPr>
        <w:t xml:space="preserve">contracting authority invites requests to participate in a </w:t>
      </w:r>
      <w:r>
        <w:rPr>
          <w:rFonts w:ascii="ArialMT" w:hAnsi="ArialMT" w:cs="ArialMT"/>
          <w:sz w:val="22"/>
          <w:szCs w:val="22"/>
        </w:rPr>
        <w:lastRenderedPageBreak/>
        <w:t>competitive flexible procedure and</w:t>
      </w:r>
      <w:r w:rsidR="002C4062">
        <w:rPr>
          <w:rFonts w:ascii="ArialMT" w:hAnsi="ArialMT" w:cs="ArialMT"/>
          <w:sz w:val="22"/>
          <w:szCs w:val="22"/>
        </w:rPr>
        <w:t xml:space="preserve"> </w:t>
      </w:r>
      <w:r>
        <w:rPr>
          <w:rFonts w:ascii="ArialMT" w:hAnsi="ArialMT" w:cs="ArialMT"/>
          <w:sz w:val="22"/>
          <w:szCs w:val="22"/>
        </w:rPr>
        <w:t>ending with the day by which those requests must be submitted</w:t>
      </w:r>
      <w:r w:rsidR="002C4062">
        <w:rPr>
          <w:rFonts w:ascii="ArialMT" w:hAnsi="ArialMT" w:cs="ArialMT"/>
          <w:sz w:val="22"/>
          <w:szCs w:val="22"/>
        </w:rPr>
        <w:t>.</w:t>
      </w:r>
    </w:p>
    <w:p w14:paraId="240C3296" w14:textId="77777777" w:rsidR="002C4062" w:rsidRDefault="002C4062" w:rsidP="00812774">
      <w:pPr>
        <w:autoSpaceDE w:val="0"/>
        <w:autoSpaceDN w:val="0"/>
        <w:adjustRightInd w:val="0"/>
        <w:rPr>
          <w:rFonts w:ascii="ArialMT" w:hAnsi="ArialMT" w:cs="ArialMT"/>
          <w:sz w:val="22"/>
          <w:szCs w:val="22"/>
        </w:rPr>
      </w:pPr>
    </w:p>
    <w:p w14:paraId="6C651BC6" w14:textId="25BC6FA6" w:rsidR="00812774" w:rsidRDefault="002C4062" w:rsidP="00812774">
      <w:pPr>
        <w:autoSpaceDE w:val="0"/>
        <w:autoSpaceDN w:val="0"/>
        <w:adjustRightInd w:val="0"/>
        <w:rPr>
          <w:rFonts w:ascii="ArialMT" w:hAnsi="ArialMT" w:cs="ArialMT"/>
          <w:sz w:val="22"/>
          <w:szCs w:val="22"/>
        </w:rPr>
      </w:pPr>
      <w:r>
        <w:rPr>
          <w:rFonts w:ascii="ArialMT" w:hAnsi="ArialMT" w:cs="ArialMT"/>
          <w:sz w:val="22"/>
          <w:szCs w:val="22"/>
        </w:rPr>
        <w:t>I</w:t>
      </w:r>
      <w:r w:rsidR="00812774">
        <w:rPr>
          <w:rFonts w:ascii="ArialMT" w:hAnsi="ArialMT" w:cs="ArialMT"/>
          <w:sz w:val="22"/>
          <w:szCs w:val="22"/>
        </w:rPr>
        <w:t>n most cases a participation period of at least 25 days must be</w:t>
      </w:r>
      <w:r>
        <w:rPr>
          <w:rFonts w:ascii="ArialMT" w:hAnsi="ArialMT" w:cs="ArialMT"/>
          <w:sz w:val="22"/>
          <w:szCs w:val="22"/>
        </w:rPr>
        <w:t xml:space="preserve"> </w:t>
      </w:r>
      <w:r w:rsidR="00812774">
        <w:rPr>
          <w:rFonts w:ascii="ArialMT" w:hAnsi="ArialMT" w:cs="ArialMT"/>
          <w:sz w:val="22"/>
          <w:szCs w:val="22"/>
        </w:rPr>
        <w:t>allowed for suppliers to submit requests. The only exceptions are:</w:t>
      </w:r>
    </w:p>
    <w:p w14:paraId="2D1FA827" w14:textId="77777777" w:rsidR="002C4062" w:rsidRDefault="002C4062" w:rsidP="00812774">
      <w:pPr>
        <w:autoSpaceDE w:val="0"/>
        <w:autoSpaceDN w:val="0"/>
        <w:adjustRightInd w:val="0"/>
        <w:rPr>
          <w:rFonts w:ascii="ArialMT" w:hAnsi="ArialMT" w:cs="ArialMT"/>
          <w:sz w:val="22"/>
          <w:szCs w:val="22"/>
        </w:rPr>
      </w:pPr>
    </w:p>
    <w:p w14:paraId="7DE768D9" w14:textId="0592EAEC" w:rsidR="00812774" w:rsidRPr="00CB7C00" w:rsidRDefault="00812774" w:rsidP="00CB7C00">
      <w:pPr>
        <w:pStyle w:val="ListParagraph"/>
        <w:numPr>
          <w:ilvl w:val="0"/>
          <w:numId w:val="22"/>
        </w:numPr>
        <w:autoSpaceDE w:val="0"/>
        <w:autoSpaceDN w:val="0"/>
        <w:adjustRightInd w:val="0"/>
        <w:rPr>
          <w:rFonts w:ascii="ArialMT" w:hAnsi="ArialMT" w:cs="ArialMT"/>
          <w:sz w:val="22"/>
          <w:szCs w:val="22"/>
        </w:rPr>
      </w:pPr>
      <w:r w:rsidRPr="00CB7C00">
        <w:rPr>
          <w:rFonts w:ascii="ArialMT" w:hAnsi="ArialMT" w:cs="ArialMT"/>
          <w:sz w:val="22"/>
          <w:szCs w:val="22"/>
        </w:rPr>
        <w:t>where the contract is a light touch contract: there is no minimum participation period;</w:t>
      </w:r>
    </w:p>
    <w:p w14:paraId="5DD351BA" w14:textId="77777777" w:rsidR="002C4062" w:rsidRPr="00CB7C00" w:rsidRDefault="002C4062" w:rsidP="002C4062">
      <w:pPr>
        <w:autoSpaceDE w:val="0"/>
        <w:autoSpaceDN w:val="0"/>
        <w:adjustRightInd w:val="0"/>
        <w:rPr>
          <w:rFonts w:ascii="ArialMT" w:hAnsi="ArialMT" w:cs="ArialMT"/>
          <w:sz w:val="22"/>
          <w:szCs w:val="22"/>
        </w:rPr>
      </w:pPr>
    </w:p>
    <w:p w14:paraId="69EE767F" w14:textId="19833A66" w:rsidR="00DE651C" w:rsidRPr="00CB7C00" w:rsidRDefault="00812774" w:rsidP="00CB7C00">
      <w:pPr>
        <w:pStyle w:val="ListParagraph"/>
        <w:numPr>
          <w:ilvl w:val="0"/>
          <w:numId w:val="22"/>
        </w:numPr>
        <w:autoSpaceDE w:val="0"/>
        <w:autoSpaceDN w:val="0"/>
        <w:adjustRightInd w:val="0"/>
        <w:rPr>
          <w:rFonts w:ascii="ArialMT" w:hAnsi="ArialMT" w:cs="ArialMT"/>
          <w:sz w:val="22"/>
          <w:szCs w:val="22"/>
        </w:rPr>
      </w:pPr>
      <w:r w:rsidRPr="00CB7C00">
        <w:rPr>
          <w:rFonts w:ascii="ArialMT" w:hAnsi="ArialMT" w:cs="ArialMT"/>
          <w:sz w:val="22"/>
          <w:szCs w:val="22"/>
        </w:rPr>
        <w:t>where the contracting authority considers there to be a state of urgency meaning a</w:t>
      </w:r>
      <w:r w:rsidR="002C4062">
        <w:rPr>
          <w:rFonts w:ascii="ArialMT" w:hAnsi="ArialMT" w:cs="ArialMT"/>
          <w:sz w:val="22"/>
          <w:szCs w:val="22"/>
        </w:rPr>
        <w:t xml:space="preserve"> </w:t>
      </w:r>
      <w:r w:rsidRPr="00CB7C00">
        <w:rPr>
          <w:rFonts w:ascii="ArialMT" w:hAnsi="ArialMT" w:cs="ArialMT"/>
          <w:sz w:val="22"/>
          <w:szCs w:val="22"/>
        </w:rPr>
        <w:t>25 day participation period is impractical: the minimum participation period may be</w:t>
      </w:r>
      <w:r w:rsidR="002C4062">
        <w:rPr>
          <w:rFonts w:ascii="ArialMT" w:hAnsi="ArialMT" w:cs="ArialMT"/>
          <w:sz w:val="22"/>
          <w:szCs w:val="22"/>
        </w:rPr>
        <w:t xml:space="preserve"> </w:t>
      </w:r>
      <w:r w:rsidRPr="00CB7C00">
        <w:rPr>
          <w:rFonts w:ascii="ArialMT" w:hAnsi="ArialMT" w:cs="ArialMT"/>
          <w:sz w:val="22"/>
          <w:szCs w:val="22"/>
        </w:rPr>
        <w:t>reduced to 10 days.</w:t>
      </w:r>
    </w:p>
    <w:p w14:paraId="21CEC4C2" w14:textId="77777777" w:rsidR="00812774" w:rsidRDefault="00812774" w:rsidP="00812774">
      <w:pPr>
        <w:rPr>
          <w:rFonts w:ascii="ArialMT" w:hAnsi="ArialMT" w:cs="ArialMT"/>
          <w:sz w:val="22"/>
          <w:szCs w:val="22"/>
        </w:rPr>
      </w:pPr>
    </w:p>
    <w:p w14:paraId="0D2E65D7" w14:textId="381D6A3B" w:rsidR="00812774" w:rsidRDefault="00812774" w:rsidP="00CB7C00">
      <w:pPr>
        <w:autoSpaceDE w:val="0"/>
        <w:autoSpaceDN w:val="0"/>
        <w:adjustRightInd w:val="0"/>
        <w:rPr>
          <w:rFonts w:ascii="ArialMT" w:hAnsi="ArialMT" w:cs="ArialMT"/>
          <w:sz w:val="22"/>
          <w:szCs w:val="22"/>
        </w:rPr>
      </w:pPr>
      <w:r>
        <w:rPr>
          <w:rFonts w:ascii="ArialMT" w:hAnsi="ArialMT" w:cs="ArialMT"/>
          <w:sz w:val="22"/>
          <w:szCs w:val="22"/>
        </w:rPr>
        <w:t>All competitive tendering procedures will include at least one tendering period. This is the</w:t>
      </w:r>
      <w:r w:rsidR="002C4062">
        <w:rPr>
          <w:rFonts w:ascii="ArialMT" w:hAnsi="ArialMT" w:cs="ArialMT"/>
          <w:sz w:val="22"/>
          <w:szCs w:val="22"/>
        </w:rPr>
        <w:t xml:space="preserve"> </w:t>
      </w:r>
      <w:r>
        <w:rPr>
          <w:rFonts w:ascii="ArialMT" w:hAnsi="ArialMT" w:cs="ArialMT"/>
          <w:sz w:val="22"/>
          <w:szCs w:val="22"/>
        </w:rPr>
        <w:t>period during which suppliers prepare their tenders</w:t>
      </w:r>
      <w:r w:rsidR="002C4062">
        <w:rPr>
          <w:rFonts w:ascii="ArialMT" w:hAnsi="ArialMT" w:cs="ArialMT"/>
          <w:sz w:val="22"/>
          <w:szCs w:val="22"/>
        </w:rPr>
        <w:t>.</w:t>
      </w:r>
    </w:p>
    <w:p w14:paraId="0A16C4D0" w14:textId="77777777" w:rsidR="00812774" w:rsidRDefault="00812774" w:rsidP="00812774">
      <w:pPr>
        <w:rPr>
          <w:rFonts w:ascii="ArialMT" w:hAnsi="ArialMT" w:cs="ArialMT"/>
          <w:sz w:val="22"/>
          <w:szCs w:val="22"/>
        </w:rPr>
      </w:pPr>
    </w:p>
    <w:p w14:paraId="6126DB77" w14:textId="5CB87A22" w:rsidR="00812774" w:rsidRDefault="00812774" w:rsidP="00812774">
      <w:pPr>
        <w:autoSpaceDE w:val="0"/>
        <w:autoSpaceDN w:val="0"/>
        <w:adjustRightInd w:val="0"/>
        <w:rPr>
          <w:rFonts w:ascii="ArialMT" w:hAnsi="ArialMT" w:cs="ArialMT"/>
          <w:sz w:val="22"/>
          <w:szCs w:val="22"/>
        </w:rPr>
      </w:pPr>
      <w:r>
        <w:rPr>
          <w:rFonts w:ascii="ArialMT" w:hAnsi="ArialMT" w:cs="ArialMT"/>
          <w:sz w:val="22"/>
          <w:szCs w:val="22"/>
        </w:rPr>
        <w:t>In a competitive flexible procedure, if the contracting authority has chosen not to have a</w:t>
      </w:r>
      <w:r w:rsidR="002C4062">
        <w:rPr>
          <w:rFonts w:ascii="ArialMT" w:hAnsi="ArialMT" w:cs="ArialMT"/>
          <w:sz w:val="22"/>
          <w:szCs w:val="22"/>
        </w:rPr>
        <w:t xml:space="preserve"> </w:t>
      </w:r>
      <w:r>
        <w:rPr>
          <w:rFonts w:ascii="ArialMT" w:hAnsi="ArialMT" w:cs="ArialMT"/>
          <w:sz w:val="22"/>
          <w:szCs w:val="22"/>
        </w:rPr>
        <w:t>separate participation period, the tender will be submitted in response to the tender notice</w:t>
      </w:r>
      <w:r w:rsidR="002C4062">
        <w:rPr>
          <w:rFonts w:ascii="ArialMT" w:hAnsi="ArialMT" w:cs="ArialMT"/>
          <w:sz w:val="22"/>
          <w:szCs w:val="22"/>
        </w:rPr>
        <w:t xml:space="preserve"> </w:t>
      </w:r>
      <w:r>
        <w:rPr>
          <w:rFonts w:ascii="ArialMT" w:hAnsi="ArialMT" w:cs="ArialMT"/>
          <w:sz w:val="22"/>
          <w:szCs w:val="22"/>
        </w:rPr>
        <w:t>and therefore the tendering period will again commence following publication of the tender</w:t>
      </w:r>
      <w:r w:rsidR="002C4062">
        <w:rPr>
          <w:rFonts w:ascii="ArialMT" w:hAnsi="ArialMT" w:cs="ArialMT"/>
          <w:sz w:val="22"/>
          <w:szCs w:val="22"/>
        </w:rPr>
        <w:t xml:space="preserve"> </w:t>
      </w:r>
      <w:r>
        <w:rPr>
          <w:rFonts w:ascii="ArialMT" w:hAnsi="ArialMT" w:cs="ArialMT"/>
          <w:sz w:val="22"/>
          <w:szCs w:val="22"/>
        </w:rPr>
        <w:t>notice. Where there is a separate participation period or multiple tendering rounds, tenders</w:t>
      </w:r>
      <w:r w:rsidR="00DC20B4">
        <w:rPr>
          <w:rFonts w:ascii="ArialMT" w:hAnsi="ArialMT" w:cs="ArialMT"/>
          <w:sz w:val="22"/>
          <w:szCs w:val="22"/>
        </w:rPr>
        <w:t xml:space="preserve"> </w:t>
      </w:r>
      <w:r>
        <w:rPr>
          <w:rFonts w:ascii="ArialMT" w:hAnsi="ArialMT" w:cs="ArialMT"/>
          <w:sz w:val="22"/>
          <w:szCs w:val="22"/>
        </w:rPr>
        <w:t>will be submitted in response to an invitation to tender sent directly to participating suppliers.</w:t>
      </w:r>
    </w:p>
    <w:p w14:paraId="7B484CE1" w14:textId="77777777" w:rsidR="002C4062" w:rsidRDefault="002C4062" w:rsidP="00812774">
      <w:pPr>
        <w:autoSpaceDE w:val="0"/>
        <w:autoSpaceDN w:val="0"/>
        <w:adjustRightInd w:val="0"/>
        <w:rPr>
          <w:rFonts w:ascii="ArialMT" w:hAnsi="ArialMT" w:cs="ArialMT"/>
          <w:sz w:val="22"/>
          <w:szCs w:val="22"/>
        </w:rPr>
      </w:pPr>
    </w:p>
    <w:p w14:paraId="2F599D2C" w14:textId="0C5198DB" w:rsidR="00812774" w:rsidRPr="00CB7C00" w:rsidRDefault="00812774" w:rsidP="00CB7C00">
      <w:pPr>
        <w:autoSpaceDE w:val="0"/>
        <w:autoSpaceDN w:val="0"/>
        <w:adjustRightInd w:val="0"/>
        <w:rPr>
          <w:rFonts w:ascii="ArialMT" w:hAnsi="ArialMT" w:cs="ArialMT"/>
          <w:sz w:val="22"/>
          <w:szCs w:val="22"/>
        </w:rPr>
      </w:pPr>
      <w:r>
        <w:rPr>
          <w:rFonts w:ascii="ArialMT" w:hAnsi="ArialMT" w:cs="ArialMT"/>
          <w:sz w:val="22"/>
          <w:szCs w:val="22"/>
        </w:rPr>
        <w:t>In these circumstances, the tendering period starts with the day after a contracting</w:t>
      </w:r>
      <w:r w:rsidR="002C4062">
        <w:rPr>
          <w:rFonts w:ascii="ArialMT" w:hAnsi="ArialMT" w:cs="ArialMT"/>
          <w:sz w:val="22"/>
          <w:szCs w:val="22"/>
        </w:rPr>
        <w:t xml:space="preserve"> </w:t>
      </w:r>
      <w:r>
        <w:rPr>
          <w:rFonts w:ascii="ArialMT" w:hAnsi="ArialMT" w:cs="ArialMT"/>
          <w:sz w:val="22"/>
          <w:szCs w:val="22"/>
        </w:rPr>
        <w:t>authority</w:t>
      </w:r>
      <w:r w:rsidR="002C4062">
        <w:rPr>
          <w:rFonts w:ascii="ArialMT" w:hAnsi="ArialMT" w:cs="ArialMT"/>
          <w:sz w:val="22"/>
          <w:szCs w:val="22"/>
        </w:rPr>
        <w:t xml:space="preserve"> </w:t>
      </w:r>
      <w:r>
        <w:rPr>
          <w:rFonts w:ascii="ArialMT" w:hAnsi="ArialMT" w:cs="ArialMT"/>
          <w:sz w:val="22"/>
          <w:szCs w:val="22"/>
        </w:rPr>
        <w:t>invites the submission of tenders as part of a competitive tendering procedure and ends with</w:t>
      </w:r>
      <w:r w:rsidR="002C4062">
        <w:rPr>
          <w:rFonts w:ascii="ArialMT" w:hAnsi="ArialMT" w:cs="ArialMT"/>
          <w:sz w:val="22"/>
          <w:szCs w:val="22"/>
        </w:rPr>
        <w:t xml:space="preserve"> </w:t>
      </w:r>
      <w:r>
        <w:rPr>
          <w:rFonts w:ascii="ArialMT" w:hAnsi="ArialMT" w:cs="ArialMT"/>
          <w:sz w:val="22"/>
          <w:szCs w:val="22"/>
        </w:rPr>
        <w:t>the day by which tenders must be submitted.</w:t>
      </w:r>
    </w:p>
    <w:p w14:paraId="7A27D020" w14:textId="28883DA3" w:rsidR="000B4721" w:rsidRDefault="002C4062" w:rsidP="00B4359E">
      <w:pPr>
        <w:rPr>
          <w:rFonts w:ascii="Arial" w:hAnsi="Arial" w:cs="Arial"/>
          <w:sz w:val="22"/>
          <w:szCs w:val="22"/>
          <w:highlight w:val="yellow"/>
        </w:rPr>
      </w:pPr>
      <w:r>
        <w:rPr>
          <w:rFonts w:ascii="Arial" w:hAnsi="Arial" w:cs="Arial"/>
          <w:sz w:val="22"/>
          <w:szCs w:val="22"/>
          <w:highlight w:val="yellow"/>
        </w:rPr>
        <w:t xml:space="preserve"> </w:t>
      </w:r>
    </w:p>
    <w:p w14:paraId="2ACF4504" w14:textId="42CF2E9A" w:rsidR="002C4062" w:rsidRDefault="002C4062" w:rsidP="002C4062">
      <w:pPr>
        <w:autoSpaceDE w:val="0"/>
        <w:autoSpaceDN w:val="0"/>
        <w:adjustRightInd w:val="0"/>
        <w:rPr>
          <w:rFonts w:ascii="Arial" w:hAnsi="Arial" w:cs="Arial"/>
          <w:sz w:val="22"/>
          <w:szCs w:val="22"/>
        </w:rPr>
      </w:pPr>
      <w:r>
        <w:rPr>
          <w:rFonts w:ascii="Arial" w:hAnsi="Arial" w:cs="Arial"/>
          <w:sz w:val="22"/>
          <w:szCs w:val="22"/>
        </w:rPr>
        <w:t>For a Comp</w:t>
      </w:r>
      <w:r w:rsidR="00740B0F">
        <w:rPr>
          <w:rFonts w:ascii="Arial" w:hAnsi="Arial" w:cs="Arial"/>
          <w:sz w:val="22"/>
          <w:szCs w:val="22"/>
        </w:rPr>
        <w:t>e</w:t>
      </w:r>
      <w:r>
        <w:rPr>
          <w:rFonts w:ascii="Arial" w:hAnsi="Arial" w:cs="Arial"/>
          <w:sz w:val="22"/>
          <w:szCs w:val="22"/>
        </w:rPr>
        <w:t xml:space="preserve">titive Flexible Procedure a </w:t>
      </w:r>
      <w:r w:rsidRPr="00BE49DF">
        <w:rPr>
          <w:rFonts w:ascii="Arial" w:hAnsi="Arial" w:cs="Arial"/>
          <w:sz w:val="22"/>
          <w:szCs w:val="22"/>
        </w:rPr>
        <w:t>25 day minimum tendering period where tenders are submitted electronically and all</w:t>
      </w:r>
      <w:r>
        <w:rPr>
          <w:rFonts w:ascii="Arial" w:hAnsi="Arial" w:cs="Arial"/>
          <w:sz w:val="22"/>
          <w:szCs w:val="22"/>
        </w:rPr>
        <w:t xml:space="preserve"> </w:t>
      </w:r>
      <w:r w:rsidRPr="00BE49DF">
        <w:rPr>
          <w:rFonts w:ascii="Arial" w:hAnsi="Arial" w:cs="Arial"/>
          <w:sz w:val="22"/>
          <w:szCs w:val="22"/>
        </w:rPr>
        <w:t>of the associated tender documents are provided at the same time as the tender</w:t>
      </w:r>
      <w:r>
        <w:rPr>
          <w:rFonts w:ascii="Arial" w:hAnsi="Arial" w:cs="Arial"/>
          <w:sz w:val="22"/>
          <w:szCs w:val="22"/>
        </w:rPr>
        <w:t xml:space="preserve"> </w:t>
      </w:r>
      <w:r w:rsidRPr="00BE49DF">
        <w:rPr>
          <w:rFonts w:ascii="Arial" w:hAnsi="Arial" w:cs="Arial"/>
          <w:sz w:val="22"/>
          <w:szCs w:val="22"/>
        </w:rPr>
        <w:t>notice.</w:t>
      </w:r>
    </w:p>
    <w:p w14:paraId="7B73DA62" w14:textId="77777777" w:rsidR="003A66A9" w:rsidRPr="005E5DDC" w:rsidRDefault="003A66A9" w:rsidP="002C4062">
      <w:pPr>
        <w:autoSpaceDE w:val="0"/>
        <w:autoSpaceDN w:val="0"/>
        <w:adjustRightInd w:val="0"/>
        <w:rPr>
          <w:rFonts w:ascii="ArialMT" w:hAnsi="ArialMT" w:cs="ArialMT"/>
          <w:sz w:val="22"/>
          <w:szCs w:val="22"/>
        </w:rPr>
      </w:pPr>
    </w:p>
    <w:p w14:paraId="6C977F92" w14:textId="77777777" w:rsidR="002C4062" w:rsidRDefault="002C4062" w:rsidP="002C4062">
      <w:pPr>
        <w:autoSpaceDE w:val="0"/>
        <w:autoSpaceDN w:val="0"/>
        <w:adjustRightInd w:val="0"/>
        <w:rPr>
          <w:rFonts w:ascii="Arial" w:hAnsi="Arial" w:cs="Arial"/>
          <w:sz w:val="22"/>
          <w:szCs w:val="22"/>
        </w:rPr>
      </w:pPr>
      <w:r>
        <w:rPr>
          <w:rFonts w:ascii="Arial" w:hAnsi="Arial" w:cs="Arial"/>
          <w:sz w:val="22"/>
          <w:szCs w:val="22"/>
        </w:rPr>
        <w:t>Or,</w:t>
      </w:r>
      <w:r w:rsidRPr="00BE49DF">
        <w:rPr>
          <w:rFonts w:ascii="Arial" w:hAnsi="Arial" w:cs="Arial"/>
          <w:sz w:val="22"/>
          <w:szCs w:val="22"/>
        </w:rPr>
        <w:t>30 day minimum tendering period where tenders are submitted electronically but not</w:t>
      </w:r>
      <w:r>
        <w:rPr>
          <w:rFonts w:ascii="Arial" w:hAnsi="Arial" w:cs="Arial"/>
          <w:sz w:val="22"/>
          <w:szCs w:val="22"/>
        </w:rPr>
        <w:t xml:space="preserve"> </w:t>
      </w:r>
      <w:r w:rsidRPr="00BE49DF">
        <w:rPr>
          <w:rFonts w:ascii="Arial" w:hAnsi="Arial" w:cs="Arial"/>
          <w:sz w:val="22"/>
          <w:szCs w:val="22"/>
        </w:rPr>
        <w:t>all of the associated tender documents are provided at the same time as the tender</w:t>
      </w:r>
      <w:r>
        <w:rPr>
          <w:rFonts w:ascii="Arial" w:hAnsi="Arial" w:cs="Arial"/>
          <w:sz w:val="22"/>
          <w:szCs w:val="22"/>
        </w:rPr>
        <w:t xml:space="preserve"> </w:t>
      </w:r>
      <w:r w:rsidRPr="00BE49DF">
        <w:rPr>
          <w:rFonts w:ascii="Arial" w:hAnsi="Arial" w:cs="Arial"/>
          <w:sz w:val="22"/>
          <w:szCs w:val="22"/>
        </w:rPr>
        <w:t>notice.</w:t>
      </w:r>
    </w:p>
    <w:p w14:paraId="6FB1112C" w14:textId="77777777" w:rsidR="002C4062" w:rsidRDefault="002C4062" w:rsidP="002C4062">
      <w:pPr>
        <w:autoSpaceDE w:val="0"/>
        <w:autoSpaceDN w:val="0"/>
        <w:adjustRightInd w:val="0"/>
        <w:rPr>
          <w:rFonts w:ascii="Arial" w:hAnsi="Arial" w:cs="Arial"/>
          <w:sz w:val="22"/>
          <w:szCs w:val="22"/>
        </w:rPr>
      </w:pPr>
    </w:p>
    <w:p w14:paraId="065231ED" w14:textId="63979646" w:rsidR="002C4062" w:rsidRPr="00CB7C00" w:rsidRDefault="002C4062" w:rsidP="002C4062">
      <w:pPr>
        <w:autoSpaceDE w:val="0"/>
        <w:autoSpaceDN w:val="0"/>
        <w:adjustRightInd w:val="0"/>
        <w:rPr>
          <w:rFonts w:ascii="ArialMT" w:hAnsi="ArialMT" w:cs="ArialMT"/>
          <w:sz w:val="22"/>
          <w:szCs w:val="22"/>
        </w:rPr>
      </w:pPr>
      <w:r>
        <w:rPr>
          <w:rFonts w:ascii="ArialMT" w:hAnsi="ArialMT" w:cs="ArialMT"/>
          <w:sz w:val="22"/>
          <w:szCs w:val="22"/>
        </w:rPr>
        <w:t>Where there are multiple tendering rounds, it is expected that the minimum tendering period</w:t>
      </w:r>
      <w:r w:rsidR="003A66A9">
        <w:rPr>
          <w:rFonts w:ascii="ArialMT" w:hAnsi="ArialMT" w:cs="ArialMT"/>
          <w:sz w:val="22"/>
          <w:szCs w:val="22"/>
        </w:rPr>
        <w:t xml:space="preserve"> </w:t>
      </w:r>
      <w:r>
        <w:rPr>
          <w:rFonts w:ascii="ArialMT" w:hAnsi="ArialMT" w:cs="ArialMT"/>
          <w:sz w:val="22"/>
          <w:szCs w:val="22"/>
        </w:rPr>
        <w:t>will apply to each tendering round, unless the contracting authority considers further tenders</w:t>
      </w:r>
      <w:r w:rsidR="003A66A9">
        <w:rPr>
          <w:rFonts w:ascii="ArialMT" w:hAnsi="ArialMT" w:cs="ArialMT"/>
          <w:sz w:val="22"/>
          <w:szCs w:val="22"/>
        </w:rPr>
        <w:t xml:space="preserve"> </w:t>
      </w:r>
      <w:r>
        <w:rPr>
          <w:rFonts w:ascii="ArialMT" w:hAnsi="ArialMT" w:cs="ArialMT"/>
          <w:sz w:val="22"/>
          <w:szCs w:val="22"/>
        </w:rPr>
        <w:t>to simply be updates to previously submitted tenders (for example as an outcome of</w:t>
      </w:r>
      <w:r w:rsidR="003A66A9">
        <w:rPr>
          <w:rFonts w:ascii="ArialMT" w:hAnsi="ArialMT" w:cs="ArialMT"/>
          <w:sz w:val="22"/>
          <w:szCs w:val="22"/>
        </w:rPr>
        <w:t xml:space="preserve"> </w:t>
      </w:r>
      <w:r>
        <w:rPr>
          <w:rFonts w:ascii="ArialMT" w:hAnsi="ArialMT" w:cs="ArialMT"/>
          <w:sz w:val="22"/>
          <w:szCs w:val="22"/>
        </w:rPr>
        <w:t>negotiations). In this case it is expected that a reasonable time limit is set, which is the same</w:t>
      </w:r>
      <w:r w:rsidR="003A66A9">
        <w:rPr>
          <w:rFonts w:ascii="ArialMT" w:hAnsi="ArialMT" w:cs="ArialMT"/>
          <w:sz w:val="22"/>
          <w:szCs w:val="22"/>
        </w:rPr>
        <w:t xml:space="preserve"> </w:t>
      </w:r>
      <w:r>
        <w:rPr>
          <w:rFonts w:ascii="ArialMT" w:hAnsi="ArialMT" w:cs="ArialMT"/>
          <w:sz w:val="22"/>
          <w:szCs w:val="22"/>
        </w:rPr>
        <w:t>for all suppliers,</w:t>
      </w:r>
    </w:p>
    <w:p w14:paraId="301AA2DA" w14:textId="77777777" w:rsidR="002C4062" w:rsidRPr="00A14DFE" w:rsidRDefault="002C4062" w:rsidP="00B4359E">
      <w:pPr>
        <w:rPr>
          <w:rFonts w:ascii="Arial" w:hAnsi="Arial" w:cs="Arial"/>
          <w:sz w:val="22"/>
          <w:szCs w:val="22"/>
          <w:highlight w:val="yellow"/>
        </w:rPr>
      </w:pPr>
    </w:p>
    <w:p w14:paraId="5861441C" w14:textId="7D4E3289" w:rsidR="000B4721" w:rsidRPr="00DC20B4" w:rsidRDefault="000B4721">
      <w:pPr>
        <w:rPr>
          <w:rFonts w:ascii="Arial" w:hAnsi="Arial" w:cs="Arial"/>
          <w:sz w:val="22"/>
          <w:szCs w:val="22"/>
          <w:u w:val="single"/>
        </w:rPr>
      </w:pPr>
      <w:r w:rsidRPr="00D84F4C">
        <w:rPr>
          <w:rFonts w:ascii="Arial" w:hAnsi="Arial" w:cs="Arial"/>
          <w:sz w:val="22"/>
          <w:szCs w:val="22"/>
        </w:rPr>
        <w:t xml:space="preserve"> </w:t>
      </w:r>
      <w:r w:rsidRPr="00DC20B4">
        <w:rPr>
          <w:rFonts w:ascii="Arial" w:hAnsi="Arial" w:cs="Arial"/>
          <w:sz w:val="22"/>
          <w:szCs w:val="22"/>
          <w:u w:val="single"/>
        </w:rPr>
        <w:t>3.</w:t>
      </w:r>
      <w:r w:rsidR="00437558" w:rsidRPr="00DC20B4">
        <w:rPr>
          <w:rFonts w:ascii="Arial" w:hAnsi="Arial" w:cs="Arial"/>
          <w:sz w:val="22"/>
          <w:szCs w:val="22"/>
          <w:u w:val="single"/>
        </w:rPr>
        <w:t>2</w:t>
      </w:r>
      <w:r w:rsidRPr="00DC20B4">
        <w:rPr>
          <w:rFonts w:ascii="Arial" w:hAnsi="Arial" w:cs="Arial"/>
          <w:sz w:val="22"/>
          <w:szCs w:val="22"/>
          <w:u w:val="single"/>
        </w:rPr>
        <w:t xml:space="preserve"> Mandatory ‘Standstill’ Period </w:t>
      </w:r>
    </w:p>
    <w:p w14:paraId="267EC568" w14:textId="77777777" w:rsidR="000B4721" w:rsidRPr="00DC20B4" w:rsidRDefault="000B4721">
      <w:pPr>
        <w:rPr>
          <w:rFonts w:ascii="Arial" w:hAnsi="Arial" w:cs="Arial"/>
          <w:sz w:val="22"/>
          <w:szCs w:val="22"/>
        </w:rPr>
      </w:pPr>
    </w:p>
    <w:p w14:paraId="6867FB73" w14:textId="27C70161" w:rsidR="000B4721" w:rsidRPr="00DC20B4" w:rsidRDefault="0090611B">
      <w:pPr>
        <w:rPr>
          <w:rFonts w:ascii="Arial" w:hAnsi="Arial" w:cs="Arial"/>
          <w:sz w:val="22"/>
          <w:szCs w:val="22"/>
        </w:rPr>
      </w:pPr>
      <w:r w:rsidRPr="00DC20B4">
        <w:rPr>
          <w:rFonts w:ascii="Arial" w:hAnsi="Arial" w:cs="Arial"/>
          <w:sz w:val="22"/>
          <w:szCs w:val="22"/>
        </w:rPr>
        <w:t xml:space="preserve">The </w:t>
      </w:r>
      <w:r w:rsidR="004A624D" w:rsidRPr="00DC20B4">
        <w:rPr>
          <w:rFonts w:ascii="Arial" w:hAnsi="Arial" w:cs="Arial"/>
          <w:sz w:val="22"/>
          <w:szCs w:val="22"/>
        </w:rPr>
        <w:t>Procurement Act 2023</w:t>
      </w:r>
      <w:r w:rsidRPr="00DC20B4">
        <w:rPr>
          <w:rFonts w:ascii="Arial" w:hAnsi="Arial" w:cs="Arial"/>
          <w:sz w:val="22"/>
          <w:szCs w:val="22"/>
        </w:rPr>
        <w:t xml:space="preserve"> require</w:t>
      </w:r>
      <w:r w:rsidR="004A624D" w:rsidRPr="00DC20B4">
        <w:rPr>
          <w:rFonts w:ascii="Arial" w:hAnsi="Arial" w:cs="Arial"/>
          <w:sz w:val="22"/>
          <w:szCs w:val="22"/>
        </w:rPr>
        <w:t>s</w:t>
      </w:r>
      <w:r w:rsidR="000B4721" w:rsidRPr="00DC20B4">
        <w:rPr>
          <w:rFonts w:ascii="Arial" w:hAnsi="Arial" w:cs="Arial"/>
          <w:sz w:val="22"/>
          <w:szCs w:val="22"/>
        </w:rPr>
        <w:t xml:space="preserve"> a minimum Mandatory Standstill Period of </w:t>
      </w:r>
      <w:r w:rsidR="004A624D" w:rsidRPr="00DC20B4">
        <w:rPr>
          <w:rFonts w:ascii="Arial" w:hAnsi="Arial" w:cs="Arial"/>
          <w:sz w:val="22"/>
          <w:szCs w:val="22"/>
        </w:rPr>
        <w:t>8</w:t>
      </w:r>
      <w:r w:rsidR="000B4721" w:rsidRPr="00DC20B4">
        <w:rPr>
          <w:rFonts w:ascii="Arial" w:hAnsi="Arial" w:cs="Arial"/>
          <w:sz w:val="22"/>
          <w:szCs w:val="22"/>
        </w:rPr>
        <w:t xml:space="preserve"> clear </w:t>
      </w:r>
      <w:r w:rsidR="004A624D" w:rsidRPr="00DC20B4">
        <w:rPr>
          <w:rFonts w:ascii="Arial" w:hAnsi="Arial" w:cs="Arial"/>
          <w:sz w:val="22"/>
          <w:szCs w:val="22"/>
        </w:rPr>
        <w:t>working</w:t>
      </w:r>
      <w:r w:rsidR="000B4721" w:rsidRPr="00DC20B4">
        <w:rPr>
          <w:rFonts w:ascii="Arial" w:hAnsi="Arial" w:cs="Arial"/>
          <w:sz w:val="22"/>
          <w:szCs w:val="22"/>
        </w:rPr>
        <w:t xml:space="preserve"> days, AFTER notifying unsuccessful bidders and BEFORE the Contract Start </w:t>
      </w:r>
    </w:p>
    <w:p w14:paraId="78264E5B" w14:textId="77777777" w:rsidR="007A0E18" w:rsidRPr="00DC20B4" w:rsidRDefault="007A0E18">
      <w:pPr>
        <w:rPr>
          <w:rFonts w:ascii="Arial" w:hAnsi="Arial" w:cs="Arial"/>
          <w:sz w:val="22"/>
          <w:szCs w:val="22"/>
        </w:rPr>
      </w:pPr>
    </w:p>
    <w:p w14:paraId="2D9E2388" w14:textId="77777777" w:rsidR="00380480" w:rsidRPr="00DC20B4" w:rsidRDefault="00380480">
      <w:pPr>
        <w:rPr>
          <w:rFonts w:ascii="Arial" w:hAnsi="Arial" w:cs="Arial"/>
          <w:sz w:val="22"/>
          <w:szCs w:val="22"/>
          <w:u w:val="single"/>
        </w:rPr>
      </w:pPr>
    </w:p>
    <w:p w14:paraId="26C5E702" w14:textId="77777777" w:rsidR="007A0E18" w:rsidRPr="00DC20B4" w:rsidRDefault="007A0E18">
      <w:pPr>
        <w:rPr>
          <w:rFonts w:ascii="Arial" w:hAnsi="Arial" w:cs="Arial"/>
          <w:sz w:val="22"/>
          <w:szCs w:val="22"/>
          <w:u w:val="single"/>
        </w:rPr>
      </w:pPr>
      <w:r w:rsidRPr="00DC20B4">
        <w:rPr>
          <w:rFonts w:ascii="Arial" w:hAnsi="Arial" w:cs="Arial"/>
          <w:sz w:val="22"/>
          <w:szCs w:val="22"/>
          <w:u w:val="single"/>
        </w:rPr>
        <w:t>3.4 Collaborative Procurement</w:t>
      </w:r>
    </w:p>
    <w:p w14:paraId="113BFFF6" w14:textId="77777777" w:rsidR="007A0E18" w:rsidRPr="00DC20B4" w:rsidRDefault="007A0E18">
      <w:pPr>
        <w:rPr>
          <w:rFonts w:ascii="Arial" w:hAnsi="Arial" w:cs="Arial"/>
          <w:sz w:val="22"/>
          <w:szCs w:val="22"/>
          <w:u w:val="single"/>
        </w:rPr>
      </w:pPr>
    </w:p>
    <w:p w14:paraId="45D737BD" w14:textId="41CA41A4" w:rsidR="007A0E18" w:rsidRPr="00DC20B4" w:rsidRDefault="007A0E18">
      <w:pPr>
        <w:rPr>
          <w:rFonts w:ascii="Arial" w:hAnsi="Arial" w:cs="Arial"/>
          <w:sz w:val="22"/>
          <w:szCs w:val="22"/>
        </w:rPr>
      </w:pPr>
      <w:r w:rsidRPr="00DC20B4">
        <w:rPr>
          <w:rFonts w:ascii="Arial" w:hAnsi="Arial" w:cs="Arial"/>
          <w:sz w:val="22"/>
          <w:szCs w:val="22"/>
        </w:rPr>
        <w:t xml:space="preserve">Sefton Council is a member of the </w:t>
      </w:r>
      <w:r w:rsidR="004A624D" w:rsidRPr="00DC20B4">
        <w:rPr>
          <w:rFonts w:ascii="Arial" w:hAnsi="Arial" w:cs="Arial"/>
          <w:sz w:val="22"/>
          <w:szCs w:val="22"/>
        </w:rPr>
        <w:t>Liverpool City Region (LCR)</w:t>
      </w:r>
      <w:r w:rsidRPr="00DC20B4">
        <w:rPr>
          <w:rFonts w:ascii="Arial" w:hAnsi="Arial" w:cs="Arial"/>
          <w:sz w:val="22"/>
          <w:szCs w:val="22"/>
        </w:rPr>
        <w:t xml:space="preserve"> and actively supports the collaborative work of this group and the contracts that are available through the group where such arrangements are advantageous to the Authority.</w:t>
      </w:r>
    </w:p>
    <w:p w14:paraId="59883BC8" w14:textId="77FFB21D" w:rsidR="007A0E18" w:rsidRPr="007A0E18" w:rsidRDefault="007A0E18">
      <w:pPr>
        <w:rPr>
          <w:rFonts w:ascii="Arial" w:hAnsi="Arial" w:cs="Arial"/>
          <w:sz w:val="22"/>
          <w:szCs w:val="22"/>
        </w:rPr>
      </w:pPr>
      <w:r w:rsidRPr="00DC20B4">
        <w:rPr>
          <w:rFonts w:ascii="Arial" w:hAnsi="Arial" w:cs="Arial"/>
          <w:sz w:val="22"/>
          <w:szCs w:val="22"/>
        </w:rPr>
        <w:t>Sefton Council will from time to time invite tenders for a number of contracts administered on behalf of the</w:t>
      </w:r>
      <w:r w:rsidR="00F72F01">
        <w:rPr>
          <w:rFonts w:ascii="Arial" w:hAnsi="Arial" w:cs="Arial"/>
          <w:sz w:val="22"/>
          <w:szCs w:val="22"/>
        </w:rPr>
        <w:t xml:space="preserve"> </w:t>
      </w:r>
      <w:r w:rsidR="004A624D" w:rsidRPr="00DC20B4">
        <w:rPr>
          <w:rFonts w:ascii="Arial" w:hAnsi="Arial" w:cs="Arial"/>
          <w:sz w:val="22"/>
          <w:szCs w:val="22"/>
        </w:rPr>
        <w:t>LCR.</w:t>
      </w:r>
      <w:r w:rsidRPr="00DC20B4">
        <w:rPr>
          <w:rFonts w:ascii="Arial" w:hAnsi="Arial" w:cs="Arial"/>
          <w:sz w:val="22"/>
          <w:szCs w:val="22"/>
        </w:rPr>
        <w:t>.</w:t>
      </w:r>
    </w:p>
    <w:p w14:paraId="47859500" w14:textId="77777777" w:rsidR="000B4721" w:rsidRPr="00A95D6D" w:rsidRDefault="005C2937">
      <w:pPr>
        <w:rPr>
          <w:rFonts w:ascii="Arial" w:hAnsi="Arial" w:cs="Arial"/>
          <w:sz w:val="22"/>
          <w:szCs w:val="22"/>
        </w:rPr>
      </w:pPr>
      <w:r>
        <w:rPr>
          <w:rFonts w:ascii="Arial" w:hAnsi="Arial" w:cs="Arial"/>
          <w:b/>
          <w:sz w:val="22"/>
          <w:szCs w:val="22"/>
          <w:u w:val="single"/>
        </w:rPr>
        <w:lastRenderedPageBreak/>
        <w:t>4</w:t>
      </w:r>
      <w:r w:rsidR="000B4721" w:rsidRPr="00A95D6D">
        <w:rPr>
          <w:rFonts w:ascii="Arial" w:hAnsi="Arial" w:cs="Arial"/>
          <w:b/>
          <w:sz w:val="22"/>
          <w:szCs w:val="22"/>
          <w:u w:val="single"/>
        </w:rPr>
        <w:t>.0 Tendering for Authority Contracts</w:t>
      </w:r>
      <w:r w:rsidR="000B4721" w:rsidRPr="00A95D6D">
        <w:rPr>
          <w:rFonts w:ascii="Arial" w:hAnsi="Arial" w:cs="Arial"/>
          <w:sz w:val="22"/>
          <w:szCs w:val="22"/>
        </w:rPr>
        <w:t xml:space="preserve"> </w:t>
      </w:r>
    </w:p>
    <w:p w14:paraId="6AB1F092" w14:textId="77777777" w:rsidR="000B4721" w:rsidRPr="00A95D6D" w:rsidRDefault="000B4721">
      <w:pPr>
        <w:rPr>
          <w:rFonts w:ascii="Arial" w:hAnsi="Arial" w:cs="Arial"/>
          <w:sz w:val="22"/>
          <w:szCs w:val="22"/>
          <w:u w:val="single"/>
        </w:rPr>
      </w:pPr>
    </w:p>
    <w:p w14:paraId="47670D7F" w14:textId="77777777" w:rsidR="002954C8" w:rsidRDefault="002954C8">
      <w:pPr>
        <w:rPr>
          <w:rFonts w:ascii="Arial" w:hAnsi="Arial" w:cs="Arial"/>
          <w:sz w:val="22"/>
          <w:szCs w:val="22"/>
          <w:u w:val="single"/>
        </w:rPr>
      </w:pPr>
    </w:p>
    <w:p w14:paraId="577D8FA9" w14:textId="471B766A" w:rsidR="000B4721" w:rsidRPr="00A95D6D" w:rsidRDefault="005C2937">
      <w:pPr>
        <w:rPr>
          <w:rFonts w:ascii="Arial" w:hAnsi="Arial" w:cs="Arial"/>
          <w:sz w:val="22"/>
          <w:szCs w:val="22"/>
          <w:u w:val="single"/>
        </w:rPr>
      </w:pPr>
      <w:r>
        <w:rPr>
          <w:rFonts w:ascii="Arial" w:hAnsi="Arial" w:cs="Arial"/>
          <w:sz w:val="22"/>
          <w:szCs w:val="22"/>
          <w:u w:val="single"/>
        </w:rPr>
        <w:t>4</w:t>
      </w:r>
      <w:r w:rsidR="000B4721" w:rsidRPr="00A95D6D">
        <w:rPr>
          <w:rFonts w:ascii="Arial" w:hAnsi="Arial" w:cs="Arial"/>
          <w:sz w:val="22"/>
          <w:szCs w:val="22"/>
          <w:u w:val="single"/>
        </w:rPr>
        <w:t xml:space="preserve">.1 </w:t>
      </w:r>
      <w:r w:rsidR="00E148BD">
        <w:rPr>
          <w:rFonts w:ascii="Arial" w:hAnsi="Arial" w:cs="Arial"/>
          <w:sz w:val="22"/>
          <w:szCs w:val="22"/>
          <w:u w:val="single"/>
        </w:rPr>
        <w:t xml:space="preserve">Conditions of </w:t>
      </w:r>
      <w:r w:rsidR="004A624D">
        <w:rPr>
          <w:rFonts w:ascii="Arial" w:hAnsi="Arial" w:cs="Arial"/>
          <w:sz w:val="22"/>
          <w:szCs w:val="22"/>
          <w:u w:val="single"/>
        </w:rPr>
        <w:t>Participation Stage</w:t>
      </w:r>
    </w:p>
    <w:p w14:paraId="06FD2E06" w14:textId="77777777" w:rsidR="000B4721" w:rsidRPr="00A95D6D" w:rsidRDefault="000B4721">
      <w:pPr>
        <w:rPr>
          <w:rFonts w:ascii="Arial" w:hAnsi="Arial" w:cs="Arial"/>
          <w:sz w:val="22"/>
          <w:szCs w:val="22"/>
        </w:rPr>
      </w:pPr>
    </w:p>
    <w:p w14:paraId="39DB57AC" w14:textId="59DFAAC8" w:rsidR="000B4721" w:rsidRPr="00A95D6D" w:rsidRDefault="000B4721">
      <w:pPr>
        <w:rPr>
          <w:rFonts w:ascii="Arial" w:hAnsi="Arial" w:cs="Arial"/>
          <w:sz w:val="22"/>
          <w:szCs w:val="22"/>
        </w:rPr>
      </w:pPr>
      <w:r w:rsidRPr="00A95D6D">
        <w:rPr>
          <w:rFonts w:ascii="Arial" w:hAnsi="Arial" w:cs="Arial"/>
          <w:sz w:val="22"/>
          <w:szCs w:val="22"/>
        </w:rPr>
        <w:t xml:space="preserve">Certain </w:t>
      </w:r>
      <w:r w:rsidR="00FD69B4">
        <w:rPr>
          <w:rFonts w:ascii="Arial" w:hAnsi="Arial" w:cs="Arial"/>
          <w:sz w:val="22"/>
          <w:szCs w:val="22"/>
        </w:rPr>
        <w:t>procurement</w:t>
      </w:r>
      <w:r w:rsidRPr="00A95D6D">
        <w:rPr>
          <w:rFonts w:ascii="Arial" w:hAnsi="Arial" w:cs="Arial"/>
          <w:sz w:val="22"/>
          <w:szCs w:val="22"/>
        </w:rPr>
        <w:t xml:space="preserve"> procedures enable the Authority to invite organisations to express interest in tendering </w:t>
      </w:r>
      <w:r w:rsidR="000E2602" w:rsidRPr="00A95D6D">
        <w:rPr>
          <w:rFonts w:ascii="Arial" w:hAnsi="Arial" w:cs="Arial"/>
          <w:sz w:val="22"/>
          <w:szCs w:val="22"/>
        </w:rPr>
        <w:t>for a particular requirement</w:t>
      </w:r>
      <w:r w:rsidRPr="00A95D6D">
        <w:rPr>
          <w:rFonts w:ascii="Arial" w:hAnsi="Arial" w:cs="Arial"/>
          <w:sz w:val="22"/>
          <w:szCs w:val="22"/>
        </w:rPr>
        <w:t xml:space="preserve"> for supplies, services or works. </w:t>
      </w:r>
    </w:p>
    <w:p w14:paraId="2EBF43DE" w14:textId="77777777" w:rsidR="000B4721" w:rsidRPr="00A95D6D" w:rsidRDefault="000B4721">
      <w:pPr>
        <w:rPr>
          <w:rFonts w:ascii="Arial" w:hAnsi="Arial" w:cs="Arial"/>
          <w:sz w:val="22"/>
          <w:szCs w:val="22"/>
        </w:rPr>
      </w:pPr>
    </w:p>
    <w:p w14:paraId="7A9B6214" w14:textId="2955E5F8" w:rsidR="000B4721" w:rsidRPr="00A95D6D" w:rsidRDefault="00FD69B4">
      <w:pPr>
        <w:rPr>
          <w:rFonts w:ascii="Arial" w:hAnsi="Arial" w:cs="Arial"/>
          <w:sz w:val="22"/>
          <w:szCs w:val="22"/>
        </w:rPr>
      </w:pPr>
      <w:r>
        <w:rPr>
          <w:rFonts w:ascii="Arial" w:hAnsi="Arial" w:cs="Arial"/>
          <w:sz w:val="22"/>
          <w:szCs w:val="22"/>
        </w:rPr>
        <w:t>In such circumstances a</w:t>
      </w:r>
      <w:r w:rsidR="000B4721" w:rsidRPr="00A95D6D">
        <w:rPr>
          <w:rFonts w:ascii="Arial" w:hAnsi="Arial" w:cs="Arial"/>
          <w:sz w:val="22"/>
          <w:szCs w:val="22"/>
        </w:rPr>
        <w:t xml:space="preserve"> </w:t>
      </w:r>
      <w:r w:rsidR="004A624D">
        <w:rPr>
          <w:rFonts w:ascii="Arial" w:hAnsi="Arial" w:cs="Arial"/>
          <w:sz w:val="22"/>
          <w:szCs w:val="22"/>
        </w:rPr>
        <w:t>P</w:t>
      </w:r>
      <w:r w:rsidR="00E53DB3">
        <w:rPr>
          <w:rFonts w:ascii="Arial" w:hAnsi="Arial" w:cs="Arial"/>
          <w:sz w:val="22"/>
          <w:szCs w:val="22"/>
        </w:rPr>
        <w:t xml:space="preserve">rocurement </w:t>
      </w:r>
      <w:r w:rsidR="00F46FB7">
        <w:rPr>
          <w:rFonts w:ascii="Arial" w:hAnsi="Arial" w:cs="Arial"/>
          <w:sz w:val="22"/>
          <w:szCs w:val="22"/>
        </w:rPr>
        <w:t>S</w:t>
      </w:r>
      <w:r w:rsidR="00E53DB3">
        <w:rPr>
          <w:rFonts w:ascii="Arial" w:hAnsi="Arial" w:cs="Arial"/>
          <w:sz w:val="22"/>
          <w:szCs w:val="22"/>
        </w:rPr>
        <w:t>pecific</w:t>
      </w:r>
      <w:r w:rsidR="00F46FB7">
        <w:rPr>
          <w:rFonts w:ascii="Arial" w:hAnsi="Arial" w:cs="Arial"/>
          <w:sz w:val="22"/>
          <w:szCs w:val="22"/>
        </w:rPr>
        <w:t xml:space="preserve"> Questionnaire (</w:t>
      </w:r>
      <w:r w:rsidR="004A624D">
        <w:rPr>
          <w:rFonts w:ascii="Arial" w:hAnsi="Arial" w:cs="Arial"/>
          <w:sz w:val="22"/>
          <w:szCs w:val="22"/>
        </w:rPr>
        <w:t>P</w:t>
      </w:r>
      <w:r w:rsidR="00F46FB7">
        <w:rPr>
          <w:rFonts w:ascii="Arial" w:hAnsi="Arial" w:cs="Arial"/>
          <w:sz w:val="22"/>
          <w:szCs w:val="22"/>
        </w:rPr>
        <w:t>SQ)</w:t>
      </w:r>
      <w:r w:rsidR="000B4721" w:rsidRPr="00A95D6D">
        <w:rPr>
          <w:rFonts w:ascii="Arial" w:hAnsi="Arial" w:cs="Arial"/>
          <w:sz w:val="22"/>
          <w:szCs w:val="22"/>
        </w:rPr>
        <w:t xml:space="preserve"> document will ordinarily be used. Such a document will likely seek </w:t>
      </w:r>
      <w:r>
        <w:rPr>
          <w:rFonts w:ascii="Arial" w:hAnsi="Arial" w:cs="Arial"/>
          <w:sz w:val="22"/>
          <w:szCs w:val="22"/>
        </w:rPr>
        <w:t>information including but not limited to</w:t>
      </w:r>
      <w:r w:rsidR="000B4721" w:rsidRPr="00A95D6D">
        <w:rPr>
          <w:rFonts w:ascii="Arial" w:hAnsi="Arial" w:cs="Arial"/>
          <w:sz w:val="22"/>
          <w:szCs w:val="22"/>
        </w:rPr>
        <w:t xml:space="preserve"> :-</w:t>
      </w:r>
    </w:p>
    <w:p w14:paraId="360E8F94" w14:textId="77777777" w:rsidR="00E073D0" w:rsidRPr="00A95D6D" w:rsidRDefault="00E073D0">
      <w:pPr>
        <w:pStyle w:val="Heading4"/>
        <w:rPr>
          <w:rFonts w:ascii="Arial" w:hAnsi="Arial" w:cs="Arial"/>
          <w:sz w:val="22"/>
          <w:szCs w:val="22"/>
        </w:rPr>
      </w:pPr>
    </w:p>
    <w:p w14:paraId="67A6F369" w14:textId="77777777" w:rsidR="000B4721" w:rsidRPr="00A95D6D" w:rsidRDefault="000B4721">
      <w:pPr>
        <w:pStyle w:val="Heading4"/>
        <w:rPr>
          <w:rFonts w:ascii="Arial" w:hAnsi="Arial" w:cs="Arial"/>
          <w:sz w:val="22"/>
          <w:szCs w:val="22"/>
        </w:rPr>
      </w:pPr>
      <w:r w:rsidRPr="00A95D6D">
        <w:rPr>
          <w:rFonts w:ascii="Arial" w:hAnsi="Arial" w:cs="Arial"/>
          <w:sz w:val="22"/>
          <w:szCs w:val="22"/>
        </w:rPr>
        <w:t>Company Information</w:t>
      </w:r>
    </w:p>
    <w:p w14:paraId="0AD4EA66" w14:textId="77777777" w:rsidR="000B4721" w:rsidRPr="00A95D6D" w:rsidRDefault="000B4721">
      <w:pPr>
        <w:rPr>
          <w:rFonts w:ascii="Arial" w:hAnsi="Arial" w:cs="Arial"/>
          <w:sz w:val="22"/>
          <w:szCs w:val="22"/>
          <w:u w:val="single"/>
        </w:rPr>
      </w:pPr>
    </w:p>
    <w:p w14:paraId="25310A12" w14:textId="322BF140" w:rsidR="000B4721" w:rsidRPr="00A95D6D" w:rsidRDefault="000B4721">
      <w:pPr>
        <w:rPr>
          <w:rFonts w:ascii="Arial" w:hAnsi="Arial" w:cs="Arial"/>
          <w:sz w:val="22"/>
          <w:szCs w:val="22"/>
        </w:rPr>
      </w:pPr>
      <w:r w:rsidRPr="00A95D6D">
        <w:rPr>
          <w:rFonts w:ascii="Arial" w:hAnsi="Arial" w:cs="Arial"/>
          <w:sz w:val="22"/>
          <w:szCs w:val="22"/>
        </w:rPr>
        <w:t>Basic details such as company name, address, telephone number</w:t>
      </w:r>
      <w:r w:rsidR="00407B4D">
        <w:rPr>
          <w:rFonts w:ascii="Arial" w:hAnsi="Arial" w:cs="Arial"/>
          <w:sz w:val="22"/>
          <w:szCs w:val="22"/>
        </w:rPr>
        <w:t>,</w:t>
      </w:r>
      <w:r w:rsidRPr="00A95D6D">
        <w:rPr>
          <w:rFonts w:ascii="Arial" w:hAnsi="Arial" w:cs="Arial"/>
          <w:sz w:val="22"/>
          <w:szCs w:val="22"/>
        </w:rPr>
        <w:t xml:space="preserve"> email address, contact personnel, company status (i.e. sole trader, partnership, private limited company etc.), date of registration.</w:t>
      </w:r>
    </w:p>
    <w:p w14:paraId="655C2529" w14:textId="77777777" w:rsidR="000B4721" w:rsidRPr="00A95D6D" w:rsidRDefault="000B4721">
      <w:pPr>
        <w:rPr>
          <w:rFonts w:ascii="Arial" w:hAnsi="Arial" w:cs="Arial"/>
          <w:sz w:val="22"/>
          <w:szCs w:val="22"/>
        </w:rPr>
      </w:pPr>
    </w:p>
    <w:p w14:paraId="1B0A80D2" w14:textId="77777777" w:rsidR="000B4721" w:rsidRPr="00A95D6D" w:rsidRDefault="000B4721">
      <w:pPr>
        <w:pStyle w:val="Heading4"/>
        <w:rPr>
          <w:rFonts w:ascii="Arial" w:hAnsi="Arial" w:cs="Arial"/>
          <w:sz w:val="22"/>
          <w:szCs w:val="22"/>
        </w:rPr>
      </w:pPr>
      <w:r w:rsidRPr="00A95D6D">
        <w:rPr>
          <w:rFonts w:ascii="Arial" w:hAnsi="Arial" w:cs="Arial"/>
          <w:sz w:val="22"/>
          <w:szCs w:val="22"/>
        </w:rPr>
        <w:t xml:space="preserve">Technical Information </w:t>
      </w:r>
    </w:p>
    <w:p w14:paraId="7CFCB37B" w14:textId="77777777" w:rsidR="000B4721" w:rsidRPr="00A95D6D" w:rsidRDefault="000B4721">
      <w:pPr>
        <w:rPr>
          <w:rFonts w:ascii="Arial" w:hAnsi="Arial" w:cs="Arial"/>
          <w:sz w:val="22"/>
          <w:szCs w:val="22"/>
          <w:u w:val="single"/>
        </w:rPr>
      </w:pPr>
    </w:p>
    <w:p w14:paraId="057E628F" w14:textId="77777777" w:rsidR="000B4721" w:rsidRPr="00A95D6D" w:rsidRDefault="000B4721">
      <w:pPr>
        <w:rPr>
          <w:rFonts w:ascii="Arial" w:hAnsi="Arial" w:cs="Arial"/>
          <w:sz w:val="22"/>
          <w:szCs w:val="22"/>
        </w:rPr>
      </w:pPr>
      <w:r w:rsidRPr="00A95D6D">
        <w:rPr>
          <w:rFonts w:ascii="Arial" w:hAnsi="Arial" w:cs="Arial"/>
          <w:sz w:val="22"/>
          <w:szCs w:val="22"/>
        </w:rPr>
        <w:t xml:space="preserve">Here the Authority may seek information relating to previous contract work asking, for instance, whether your organisation has suffered deductions for liquidated damages, or whether a previous contract has been terminated, or perhaps whether a contract renewal has previously been refused. </w:t>
      </w:r>
    </w:p>
    <w:p w14:paraId="5C97B894" w14:textId="77777777" w:rsidR="000B4721" w:rsidRPr="00056C00" w:rsidRDefault="000B4721">
      <w:pPr>
        <w:rPr>
          <w:rFonts w:ascii="Arial" w:hAnsi="Arial" w:cs="Arial"/>
          <w:sz w:val="22"/>
          <w:szCs w:val="22"/>
        </w:rPr>
      </w:pPr>
    </w:p>
    <w:p w14:paraId="4390DB2F" w14:textId="41F27DCD" w:rsidR="000B4721" w:rsidRPr="00056C00" w:rsidRDefault="000B4721">
      <w:pPr>
        <w:rPr>
          <w:rFonts w:ascii="Arial" w:hAnsi="Arial" w:cs="Arial"/>
          <w:sz w:val="22"/>
          <w:szCs w:val="22"/>
        </w:rPr>
      </w:pPr>
      <w:r w:rsidRPr="00056C00">
        <w:rPr>
          <w:rFonts w:ascii="Arial" w:hAnsi="Arial" w:cs="Arial"/>
          <w:sz w:val="22"/>
          <w:szCs w:val="22"/>
        </w:rPr>
        <w:t xml:space="preserve">Information may also be sought as to your </w:t>
      </w:r>
      <w:r w:rsidR="008D2A02" w:rsidRPr="00056C00">
        <w:rPr>
          <w:rFonts w:ascii="Arial" w:hAnsi="Arial" w:cs="Arial"/>
          <w:sz w:val="22"/>
          <w:szCs w:val="22"/>
        </w:rPr>
        <w:t>organisation’s</w:t>
      </w:r>
      <w:r w:rsidRPr="00056C00">
        <w:rPr>
          <w:rFonts w:ascii="Arial" w:hAnsi="Arial" w:cs="Arial"/>
          <w:sz w:val="22"/>
          <w:szCs w:val="22"/>
        </w:rPr>
        <w:t xml:space="preserve"> breakdown of staffing compliment and any relevant qualifications held. You may be asked to elaborate on any awards gained for quality, and you may also be asked to give details of specialist areas of support provided by your organisation.   </w:t>
      </w:r>
    </w:p>
    <w:p w14:paraId="2735769D" w14:textId="77777777" w:rsidR="000B4721" w:rsidRPr="00056C00" w:rsidRDefault="000B4721">
      <w:pPr>
        <w:rPr>
          <w:rFonts w:ascii="Arial" w:hAnsi="Arial" w:cs="Arial"/>
          <w:sz w:val="22"/>
          <w:szCs w:val="22"/>
        </w:rPr>
      </w:pPr>
    </w:p>
    <w:p w14:paraId="49142506" w14:textId="77777777" w:rsidR="000B4721" w:rsidRPr="00056C00" w:rsidRDefault="000B4721">
      <w:pPr>
        <w:rPr>
          <w:rFonts w:ascii="Arial" w:hAnsi="Arial" w:cs="Arial"/>
          <w:sz w:val="22"/>
          <w:szCs w:val="22"/>
        </w:rPr>
      </w:pPr>
      <w:r w:rsidRPr="00056C00">
        <w:rPr>
          <w:rFonts w:ascii="Arial" w:hAnsi="Arial" w:cs="Arial"/>
          <w:sz w:val="22"/>
          <w:szCs w:val="22"/>
        </w:rPr>
        <w:t xml:space="preserve">Topics including Environmental standards and accreditations, Insurance cover and Health &amp; Safety are also likely to be covered. </w:t>
      </w:r>
    </w:p>
    <w:p w14:paraId="24DD35AB" w14:textId="77777777" w:rsidR="000B4721" w:rsidRPr="00056C00" w:rsidRDefault="000B4721">
      <w:pPr>
        <w:rPr>
          <w:rFonts w:ascii="Arial" w:hAnsi="Arial" w:cs="Arial"/>
          <w:sz w:val="22"/>
          <w:szCs w:val="22"/>
        </w:rPr>
      </w:pPr>
    </w:p>
    <w:p w14:paraId="55609678" w14:textId="77777777" w:rsidR="000B4721" w:rsidRPr="00056C00" w:rsidRDefault="000B4721">
      <w:pPr>
        <w:pStyle w:val="Heading4"/>
        <w:rPr>
          <w:rFonts w:ascii="Arial" w:hAnsi="Arial" w:cs="Arial"/>
          <w:sz w:val="22"/>
          <w:szCs w:val="22"/>
        </w:rPr>
      </w:pPr>
      <w:r w:rsidRPr="00056C00">
        <w:rPr>
          <w:rFonts w:ascii="Arial" w:hAnsi="Arial" w:cs="Arial"/>
          <w:sz w:val="22"/>
          <w:szCs w:val="22"/>
        </w:rPr>
        <w:t>Relevant Experience</w:t>
      </w:r>
    </w:p>
    <w:p w14:paraId="75796005" w14:textId="77777777" w:rsidR="000B4721" w:rsidRPr="00056C00" w:rsidRDefault="000B4721">
      <w:pPr>
        <w:rPr>
          <w:rFonts w:ascii="Arial" w:hAnsi="Arial" w:cs="Arial"/>
          <w:sz w:val="22"/>
          <w:szCs w:val="22"/>
        </w:rPr>
      </w:pPr>
      <w:r w:rsidRPr="00056C00">
        <w:rPr>
          <w:rFonts w:ascii="Arial" w:hAnsi="Arial" w:cs="Arial"/>
          <w:sz w:val="22"/>
          <w:szCs w:val="22"/>
        </w:rPr>
        <w:t xml:space="preserve"> </w:t>
      </w:r>
    </w:p>
    <w:p w14:paraId="4C658545" w14:textId="77777777" w:rsidR="000B4721" w:rsidRPr="00056C00" w:rsidRDefault="000B4721">
      <w:pPr>
        <w:rPr>
          <w:rFonts w:ascii="Arial" w:hAnsi="Arial" w:cs="Arial"/>
          <w:sz w:val="22"/>
          <w:szCs w:val="22"/>
        </w:rPr>
      </w:pPr>
      <w:r w:rsidRPr="00056C00">
        <w:rPr>
          <w:rFonts w:ascii="Arial" w:hAnsi="Arial" w:cs="Arial"/>
          <w:sz w:val="22"/>
          <w:szCs w:val="22"/>
        </w:rPr>
        <w:t>Here, the Authority may be looking for you to elaborate on your organisation’s previous experience in relation to the provision of supplies, services or works of a similar nature to that which the Authority has the requirement for.</w:t>
      </w:r>
    </w:p>
    <w:p w14:paraId="6DB67FCE" w14:textId="77777777" w:rsidR="000B4721" w:rsidRPr="00056C00" w:rsidRDefault="000B4721">
      <w:pPr>
        <w:rPr>
          <w:rFonts w:ascii="Arial" w:hAnsi="Arial" w:cs="Arial"/>
          <w:sz w:val="22"/>
          <w:szCs w:val="22"/>
        </w:rPr>
      </w:pPr>
    </w:p>
    <w:p w14:paraId="0D51F694" w14:textId="77777777" w:rsidR="000B4721" w:rsidRPr="00056C00" w:rsidRDefault="000B4721">
      <w:pPr>
        <w:rPr>
          <w:rFonts w:ascii="Arial" w:hAnsi="Arial" w:cs="Arial"/>
          <w:sz w:val="22"/>
          <w:szCs w:val="22"/>
        </w:rPr>
      </w:pPr>
      <w:r w:rsidRPr="00056C00">
        <w:rPr>
          <w:rFonts w:ascii="Arial" w:hAnsi="Arial" w:cs="Arial"/>
          <w:sz w:val="22"/>
          <w:szCs w:val="22"/>
        </w:rPr>
        <w:t xml:space="preserve">Officers will use the information gathered at this initial stage to determine a shortlist of organisations that will be invited to submit formal tenders. </w:t>
      </w:r>
    </w:p>
    <w:p w14:paraId="1C6D3F3E" w14:textId="77777777" w:rsidR="004C28F8" w:rsidRPr="00056C00" w:rsidRDefault="004C28F8">
      <w:pPr>
        <w:rPr>
          <w:rFonts w:ascii="Arial" w:hAnsi="Arial" w:cs="Arial"/>
          <w:sz w:val="22"/>
          <w:szCs w:val="22"/>
          <w:u w:val="single"/>
        </w:rPr>
      </w:pPr>
    </w:p>
    <w:p w14:paraId="45D1E7D0" w14:textId="7C3E80AE" w:rsidR="00101864" w:rsidRDefault="00101864">
      <w:pPr>
        <w:rPr>
          <w:rFonts w:ascii="Arial" w:hAnsi="Arial" w:cs="Arial"/>
          <w:sz w:val="22"/>
          <w:szCs w:val="22"/>
          <w:u w:val="single"/>
        </w:rPr>
      </w:pPr>
    </w:p>
    <w:p w14:paraId="04DB9BA9" w14:textId="77EF4D07" w:rsidR="00DA14DE" w:rsidRDefault="00DA14DE">
      <w:pPr>
        <w:rPr>
          <w:rFonts w:ascii="Arial" w:hAnsi="Arial" w:cs="Arial"/>
          <w:sz w:val="22"/>
          <w:szCs w:val="22"/>
          <w:u w:val="single"/>
        </w:rPr>
      </w:pPr>
    </w:p>
    <w:p w14:paraId="20B6E251" w14:textId="77777777" w:rsidR="000B4721" w:rsidRPr="00056C00" w:rsidRDefault="005C2937">
      <w:pPr>
        <w:rPr>
          <w:rFonts w:ascii="Arial" w:hAnsi="Arial" w:cs="Arial"/>
          <w:sz w:val="22"/>
          <w:szCs w:val="22"/>
          <w:u w:val="single"/>
        </w:rPr>
      </w:pPr>
      <w:r>
        <w:rPr>
          <w:rFonts w:ascii="Arial" w:hAnsi="Arial" w:cs="Arial"/>
          <w:sz w:val="22"/>
          <w:szCs w:val="22"/>
          <w:u w:val="single"/>
        </w:rPr>
        <w:t>4</w:t>
      </w:r>
      <w:r w:rsidR="000B4721" w:rsidRPr="00056C00">
        <w:rPr>
          <w:rFonts w:ascii="Arial" w:hAnsi="Arial" w:cs="Arial"/>
          <w:sz w:val="22"/>
          <w:szCs w:val="22"/>
          <w:u w:val="single"/>
        </w:rPr>
        <w:t xml:space="preserve">.2 Open Tender. </w:t>
      </w:r>
    </w:p>
    <w:p w14:paraId="23150968" w14:textId="77777777" w:rsidR="000B4721" w:rsidRPr="00056C00" w:rsidRDefault="000B4721">
      <w:pPr>
        <w:rPr>
          <w:rFonts w:ascii="Arial" w:hAnsi="Arial" w:cs="Arial"/>
          <w:sz w:val="22"/>
          <w:szCs w:val="22"/>
        </w:rPr>
      </w:pPr>
    </w:p>
    <w:p w14:paraId="7916954C" w14:textId="0CDE48DC" w:rsidR="000B4721" w:rsidRPr="00056C00" w:rsidRDefault="000B4721">
      <w:pPr>
        <w:jc w:val="both"/>
        <w:rPr>
          <w:rFonts w:ascii="Arial" w:hAnsi="Arial" w:cs="Arial"/>
          <w:sz w:val="22"/>
          <w:szCs w:val="22"/>
        </w:rPr>
      </w:pPr>
      <w:r w:rsidRPr="00056C00">
        <w:rPr>
          <w:rFonts w:ascii="Arial" w:hAnsi="Arial" w:cs="Arial"/>
          <w:sz w:val="22"/>
          <w:szCs w:val="22"/>
        </w:rPr>
        <w:t xml:space="preserve">Where the Authority opts to tender by Open Competition, or in </w:t>
      </w:r>
      <w:r w:rsidR="00FD3851">
        <w:rPr>
          <w:rFonts w:ascii="Arial" w:hAnsi="Arial" w:cs="Arial"/>
          <w:sz w:val="22"/>
          <w:szCs w:val="22"/>
        </w:rPr>
        <w:t>Public Contracts Regulations</w:t>
      </w:r>
      <w:r w:rsidRPr="00056C00">
        <w:rPr>
          <w:rFonts w:ascii="Arial" w:hAnsi="Arial" w:cs="Arial"/>
          <w:sz w:val="22"/>
          <w:szCs w:val="22"/>
        </w:rPr>
        <w:t xml:space="preserve"> terms use the Open Procedure, or following the first </w:t>
      </w:r>
      <w:r w:rsidR="004A624D">
        <w:rPr>
          <w:rFonts w:ascii="Arial" w:hAnsi="Arial" w:cs="Arial"/>
          <w:sz w:val="22"/>
          <w:szCs w:val="22"/>
        </w:rPr>
        <w:t>P</w:t>
      </w:r>
      <w:r w:rsidR="00407B4D">
        <w:rPr>
          <w:rFonts w:ascii="Arial" w:hAnsi="Arial" w:cs="Arial"/>
          <w:sz w:val="22"/>
          <w:szCs w:val="22"/>
        </w:rPr>
        <w:t>rocurement Specific</w:t>
      </w:r>
      <w:r w:rsidR="00CB43FE">
        <w:rPr>
          <w:rFonts w:ascii="Arial" w:hAnsi="Arial" w:cs="Arial"/>
          <w:sz w:val="22"/>
          <w:szCs w:val="22"/>
        </w:rPr>
        <w:t xml:space="preserve"> Questionnaire</w:t>
      </w:r>
      <w:r w:rsidR="004A624D">
        <w:rPr>
          <w:rFonts w:ascii="Arial" w:hAnsi="Arial" w:cs="Arial"/>
          <w:sz w:val="22"/>
          <w:szCs w:val="22"/>
        </w:rPr>
        <w:t xml:space="preserve"> (PSQ)</w:t>
      </w:r>
      <w:r w:rsidRPr="00056C00">
        <w:rPr>
          <w:rFonts w:ascii="Arial" w:hAnsi="Arial" w:cs="Arial"/>
          <w:sz w:val="22"/>
          <w:szCs w:val="22"/>
        </w:rPr>
        <w:t xml:space="preserve"> stage of a </w:t>
      </w:r>
      <w:r w:rsidR="00E148BD">
        <w:rPr>
          <w:rFonts w:ascii="Arial" w:hAnsi="Arial" w:cs="Arial"/>
          <w:sz w:val="22"/>
          <w:szCs w:val="22"/>
        </w:rPr>
        <w:t xml:space="preserve">Competitive Flexible </w:t>
      </w:r>
      <w:r w:rsidRPr="00056C00">
        <w:rPr>
          <w:rFonts w:ascii="Arial" w:hAnsi="Arial" w:cs="Arial"/>
          <w:sz w:val="22"/>
          <w:szCs w:val="22"/>
        </w:rPr>
        <w:t xml:space="preserve">procedure as outlined </w:t>
      </w:r>
      <w:r w:rsidR="00017CBF">
        <w:rPr>
          <w:rFonts w:ascii="Arial" w:hAnsi="Arial" w:cs="Arial"/>
          <w:sz w:val="22"/>
          <w:szCs w:val="22"/>
        </w:rPr>
        <w:t>earlier</w:t>
      </w:r>
      <w:r w:rsidRPr="00056C00">
        <w:rPr>
          <w:rFonts w:ascii="Arial" w:hAnsi="Arial" w:cs="Arial"/>
          <w:sz w:val="22"/>
          <w:szCs w:val="22"/>
        </w:rPr>
        <w:t>, a formal tender document pack will be issued</w:t>
      </w:r>
      <w:r w:rsidR="00056C00">
        <w:rPr>
          <w:rFonts w:ascii="Arial" w:hAnsi="Arial" w:cs="Arial"/>
          <w:sz w:val="22"/>
          <w:szCs w:val="22"/>
        </w:rPr>
        <w:t xml:space="preserve"> to the Suppliers</w:t>
      </w:r>
      <w:r w:rsidRPr="00056C00">
        <w:rPr>
          <w:rFonts w:ascii="Arial" w:hAnsi="Arial" w:cs="Arial"/>
          <w:sz w:val="22"/>
          <w:szCs w:val="22"/>
        </w:rPr>
        <w:t xml:space="preserve">. </w:t>
      </w:r>
      <w:r w:rsidR="00E073D0">
        <w:rPr>
          <w:rFonts w:ascii="Arial" w:hAnsi="Arial" w:cs="Arial"/>
          <w:sz w:val="22"/>
          <w:szCs w:val="22"/>
        </w:rPr>
        <w:t>Instructions for the completion and return of the Tender Submission will be issued in the Tender Pack.</w:t>
      </w:r>
    </w:p>
    <w:p w14:paraId="726A7F7D" w14:textId="77777777" w:rsidR="000B4721" w:rsidRPr="00056C00" w:rsidRDefault="000B4721">
      <w:pPr>
        <w:rPr>
          <w:rFonts w:ascii="Arial" w:hAnsi="Arial" w:cs="Arial"/>
          <w:sz w:val="22"/>
          <w:szCs w:val="22"/>
          <w:u w:val="single"/>
        </w:rPr>
      </w:pPr>
    </w:p>
    <w:p w14:paraId="7AA9DA6A" w14:textId="77777777" w:rsidR="0090611B" w:rsidRDefault="0090611B">
      <w:pPr>
        <w:rPr>
          <w:rFonts w:ascii="Arial" w:hAnsi="Arial" w:cs="Arial"/>
          <w:sz w:val="22"/>
          <w:szCs w:val="22"/>
          <w:u w:val="single"/>
        </w:rPr>
      </w:pPr>
    </w:p>
    <w:p w14:paraId="0093F144" w14:textId="77777777" w:rsidR="008D2A02" w:rsidRDefault="008D2A02">
      <w:pPr>
        <w:rPr>
          <w:rFonts w:ascii="Arial" w:hAnsi="Arial" w:cs="Arial"/>
          <w:sz w:val="22"/>
          <w:szCs w:val="22"/>
          <w:u w:val="single"/>
        </w:rPr>
      </w:pPr>
    </w:p>
    <w:p w14:paraId="612D0606" w14:textId="77777777" w:rsidR="000B4721" w:rsidRPr="00056C00" w:rsidRDefault="005C2937">
      <w:pPr>
        <w:rPr>
          <w:rFonts w:ascii="Arial" w:hAnsi="Arial" w:cs="Arial"/>
          <w:sz w:val="22"/>
          <w:szCs w:val="22"/>
          <w:u w:val="single"/>
        </w:rPr>
      </w:pPr>
      <w:r>
        <w:rPr>
          <w:rFonts w:ascii="Arial" w:hAnsi="Arial" w:cs="Arial"/>
          <w:sz w:val="22"/>
          <w:szCs w:val="22"/>
          <w:u w:val="single"/>
        </w:rPr>
        <w:lastRenderedPageBreak/>
        <w:t>4</w:t>
      </w:r>
      <w:r w:rsidR="000B4721" w:rsidRPr="00056C00">
        <w:rPr>
          <w:rFonts w:ascii="Arial" w:hAnsi="Arial" w:cs="Arial"/>
          <w:sz w:val="22"/>
          <w:szCs w:val="22"/>
          <w:u w:val="single"/>
        </w:rPr>
        <w:t>.3 Receipt of Tenders</w:t>
      </w:r>
    </w:p>
    <w:p w14:paraId="174CF537" w14:textId="77777777" w:rsidR="000B4721" w:rsidRPr="00056C00" w:rsidRDefault="000B4721">
      <w:pPr>
        <w:rPr>
          <w:rFonts w:ascii="Arial" w:hAnsi="Arial" w:cs="Arial"/>
          <w:sz w:val="22"/>
          <w:szCs w:val="22"/>
          <w:u w:val="single"/>
        </w:rPr>
      </w:pPr>
    </w:p>
    <w:p w14:paraId="7E67FB12" w14:textId="717CBFCF" w:rsidR="000B4721" w:rsidRPr="00056C00" w:rsidRDefault="000B4721">
      <w:pPr>
        <w:rPr>
          <w:rFonts w:ascii="Arial" w:hAnsi="Arial" w:cs="Arial"/>
          <w:sz w:val="22"/>
          <w:szCs w:val="22"/>
        </w:rPr>
      </w:pPr>
      <w:r w:rsidRPr="00056C00">
        <w:rPr>
          <w:rFonts w:ascii="Arial" w:hAnsi="Arial" w:cs="Arial"/>
          <w:sz w:val="22"/>
          <w:szCs w:val="22"/>
        </w:rPr>
        <w:t xml:space="preserve">In accordance with the Authority’s Contracts Procedure Rules all submissions relating to a particular tender exercise will be opened </w:t>
      </w:r>
      <w:r w:rsidR="0090611B">
        <w:rPr>
          <w:rFonts w:ascii="Arial" w:hAnsi="Arial" w:cs="Arial"/>
          <w:sz w:val="22"/>
          <w:szCs w:val="22"/>
        </w:rPr>
        <w:t>within the Council’s electronic opportunities portal</w:t>
      </w:r>
      <w:r w:rsidR="00E073D0">
        <w:rPr>
          <w:rFonts w:ascii="Arial" w:hAnsi="Arial" w:cs="Arial"/>
          <w:sz w:val="22"/>
          <w:szCs w:val="22"/>
        </w:rPr>
        <w:t>.</w:t>
      </w:r>
    </w:p>
    <w:p w14:paraId="7617D54D" w14:textId="77777777" w:rsidR="000B4721" w:rsidRPr="00056C00" w:rsidRDefault="000B4721">
      <w:pPr>
        <w:rPr>
          <w:rFonts w:ascii="Arial" w:hAnsi="Arial" w:cs="Arial"/>
          <w:sz w:val="22"/>
          <w:szCs w:val="22"/>
        </w:rPr>
      </w:pPr>
    </w:p>
    <w:p w14:paraId="0B5EDD3E" w14:textId="4B10CCDD" w:rsidR="0090611B" w:rsidRDefault="0090611B">
      <w:pPr>
        <w:rPr>
          <w:rFonts w:ascii="Arial" w:hAnsi="Arial" w:cs="Arial"/>
          <w:sz w:val="22"/>
          <w:szCs w:val="22"/>
          <w:u w:val="single"/>
        </w:rPr>
      </w:pPr>
    </w:p>
    <w:p w14:paraId="5E902907" w14:textId="77777777" w:rsidR="00DA14DE" w:rsidRDefault="00DA14DE">
      <w:pPr>
        <w:rPr>
          <w:rFonts w:ascii="Arial" w:hAnsi="Arial" w:cs="Arial"/>
          <w:sz w:val="22"/>
          <w:szCs w:val="22"/>
          <w:u w:val="single"/>
        </w:rPr>
      </w:pPr>
    </w:p>
    <w:p w14:paraId="515A4726" w14:textId="77777777" w:rsidR="000B4721" w:rsidRPr="00056C00" w:rsidRDefault="005C2937">
      <w:pPr>
        <w:rPr>
          <w:rFonts w:ascii="Arial" w:hAnsi="Arial" w:cs="Arial"/>
          <w:sz w:val="22"/>
          <w:szCs w:val="22"/>
          <w:u w:val="single"/>
        </w:rPr>
      </w:pPr>
      <w:r>
        <w:rPr>
          <w:rFonts w:ascii="Arial" w:hAnsi="Arial" w:cs="Arial"/>
          <w:sz w:val="22"/>
          <w:szCs w:val="22"/>
          <w:u w:val="single"/>
        </w:rPr>
        <w:t>4</w:t>
      </w:r>
      <w:r w:rsidR="000B4721" w:rsidRPr="00056C00">
        <w:rPr>
          <w:rFonts w:ascii="Arial" w:hAnsi="Arial" w:cs="Arial"/>
          <w:sz w:val="22"/>
          <w:szCs w:val="22"/>
          <w:u w:val="single"/>
        </w:rPr>
        <w:t>.4 Evaluation of Tenders</w:t>
      </w:r>
    </w:p>
    <w:p w14:paraId="0F685C6B" w14:textId="77777777" w:rsidR="000B4721" w:rsidRPr="00056C00" w:rsidRDefault="000B4721">
      <w:pPr>
        <w:rPr>
          <w:rFonts w:ascii="Arial" w:hAnsi="Arial" w:cs="Arial"/>
          <w:sz w:val="22"/>
          <w:szCs w:val="22"/>
        </w:rPr>
      </w:pPr>
    </w:p>
    <w:p w14:paraId="31AE1FA8" w14:textId="3B5707B5" w:rsidR="000B4721" w:rsidRPr="00056C00" w:rsidRDefault="000B4721">
      <w:pPr>
        <w:rPr>
          <w:rFonts w:ascii="Arial" w:hAnsi="Arial" w:cs="Arial"/>
          <w:sz w:val="22"/>
          <w:szCs w:val="22"/>
        </w:rPr>
      </w:pPr>
      <w:r w:rsidRPr="00056C00">
        <w:rPr>
          <w:rFonts w:ascii="Arial" w:hAnsi="Arial" w:cs="Arial"/>
          <w:sz w:val="22"/>
          <w:szCs w:val="22"/>
        </w:rPr>
        <w:t>Tender bids will be evaluated against a range of pre-determined criteria</w:t>
      </w:r>
      <w:r w:rsidR="00E148BD">
        <w:rPr>
          <w:rFonts w:ascii="Arial" w:hAnsi="Arial" w:cs="Arial"/>
          <w:sz w:val="22"/>
          <w:szCs w:val="22"/>
        </w:rPr>
        <w:t xml:space="preserve"> and the Most Advantageous Tender (MAT) selected as the preferred bidder</w:t>
      </w:r>
      <w:r w:rsidRPr="00056C00">
        <w:rPr>
          <w:rFonts w:ascii="Arial" w:hAnsi="Arial" w:cs="Arial"/>
          <w:sz w:val="22"/>
          <w:szCs w:val="22"/>
        </w:rPr>
        <w:t xml:space="preserve"> . Evaluation will focus on examining how the bids aim to deliver the supplies, services or works (quality), the associated cost (price)</w:t>
      </w:r>
      <w:r w:rsidR="00F37C8D">
        <w:rPr>
          <w:rFonts w:ascii="Arial" w:hAnsi="Arial" w:cs="Arial"/>
          <w:sz w:val="22"/>
          <w:szCs w:val="22"/>
        </w:rPr>
        <w:t>, and social value opportunities</w:t>
      </w:r>
      <w:r w:rsidRPr="00056C00">
        <w:rPr>
          <w:rFonts w:ascii="Arial" w:hAnsi="Arial" w:cs="Arial"/>
          <w:sz w:val="22"/>
          <w:szCs w:val="22"/>
        </w:rPr>
        <w:t>.</w:t>
      </w:r>
    </w:p>
    <w:p w14:paraId="21B1A5ED" w14:textId="77777777" w:rsidR="00613E90" w:rsidRDefault="00613E90">
      <w:pPr>
        <w:rPr>
          <w:rFonts w:ascii="Arial" w:hAnsi="Arial" w:cs="Arial"/>
          <w:sz w:val="22"/>
          <w:szCs w:val="22"/>
        </w:rPr>
      </w:pPr>
    </w:p>
    <w:p w14:paraId="4ADAF46F" w14:textId="1D716162" w:rsidR="000B4721" w:rsidRPr="00056C00" w:rsidRDefault="000B4721">
      <w:pPr>
        <w:rPr>
          <w:rFonts w:ascii="Arial" w:hAnsi="Arial" w:cs="Arial"/>
          <w:sz w:val="22"/>
          <w:szCs w:val="22"/>
        </w:rPr>
      </w:pPr>
      <w:r w:rsidRPr="00056C00">
        <w:rPr>
          <w:rFonts w:ascii="Arial" w:hAnsi="Arial" w:cs="Arial"/>
          <w:sz w:val="22"/>
          <w:szCs w:val="22"/>
        </w:rPr>
        <w:t>All local authorities are required to secure Best Value in the way they deliver their services. This means that Authorities must ensure continuous improvement in all functions and secure value for money throughout the buying process. It also means that Authorities are accountable to local people in their business dealings, which must be open, fair, transparent and auditable.</w:t>
      </w:r>
    </w:p>
    <w:p w14:paraId="4CE035D2" w14:textId="77777777" w:rsidR="000B4721" w:rsidRPr="00056C00" w:rsidRDefault="000B4721">
      <w:pPr>
        <w:rPr>
          <w:rFonts w:ascii="Arial" w:hAnsi="Arial" w:cs="Arial"/>
          <w:sz w:val="22"/>
          <w:szCs w:val="22"/>
        </w:rPr>
      </w:pPr>
    </w:p>
    <w:p w14:paraId="507D856A" w14:textId="5B82DD37" w:rsidR="0077666B" w:rsidRDefault="0077666B">
      <w:pPr>
        <w:rPr>
          <w:rFonts w:ascii="Arial" w:hAnsi="Arial" w:cs="Arial"/>
          <w:sz w:val="22"/>
          <w:szCs w:val="22"/>
          <w:u w:val="single"/>
        </w:rPr>
      </w:pPr>
    </w:p>
    <w:p w14:paraId="466D617E" w14:textId="77777777" w:rsidR="00DA14DE" w:rsidRDefault="00DA14DE">
      <w:pPr>
        <w:rPr>
          <w:rFonts w:ascii="Arial" w:hAnsi="Arial" w:cs="Arial"/>
          <w:sz w:val="22"/>
          <w:szCs w:val="22"/>
          <w:u w:val="single"/>
        </w:rPr>
      </w:pPr>
    </w:p>
    <w:p w14:paraId="7A742253" w14:textId="77777777" w:rsidR="000B4721" w:rsidRPr="00056C00" w:rsidRDefault="005C2937">
      <w:pPr>
        <w:rPr>
          <w:rFonts w:ascii="Arial" w:hAnsi="Arial" w:cs="Arial"/>
          <w:sz w:val="22"/>
          <w:szCs w:val="22"/>
          <w:u w:val="single"/>
        </w:rPr>
      </w:pPr>
      <w:r>
        <w:rPr>
          <w:rFonts w:ascii="Arial" w:hAnsi="Arial" w:cs="Arial"/>
          <w:sz w:val="22"/>
          <w:szCs w:val="22"/>
          <w:u w:val="single"/>
        </w:rPr>
        <w:t>4</w:t>
      </w:r>
      <w:r w:rsidR="000B4721" w:rsidRPr="00056C00">
        <w:rPr>
          <w:rFonts w:ascii="Arial" w:hAnsi="Arial" w:cs="Arial"/>
          <w:sz w:val="22"/>
          <w:szCs w:val="22"/>
          <w:u w:val="single"/>
        </w:rPr>
        <w:t xml:space="preserve">.5 Contract Award  </w:t>
      </w:r>
    </w:p>
    <w:p w14:paraId="5455BCCB" w14:textId="77777777" w:rsidR="00E073D0" w:rsidRDefault="00E073D0">
      <w:pPr>
        <w:rPr>
          <w:rFonts w:ascii="Arial" w:hAnsi="Arial" w:cs="Arial"/>
          <w:sz w:val="22"/>
          <w:szCs w:val="22"/>
        </w:rPr>
      </w:pPr>
    </w:p>
    <w:p w14:paraId="78388E49" w14:textId="2799FBFD" w:rsidR="000B4721" w:rsidRDefault="00E073D0">
      <w:r>
        <w:rPr>
          <w:rFonts w:ascii="Arial" w:hAnsi="Arial" w:cs="Arial"/>
          <w:sz w:val="22"/>
          <w:szCs w:val="22"/>
        </w:rPr>
        <w:t>Shou</w:t>
      </w:r>
      <w:r w:rsidR="000B4721" w:rsidRPr="00056C00">
        <w:rPr>
          <w:rFonts w:ascii="Arial" w:hAnsi="Arial" w:cs="Arial"/>
          <w:sz w:val="22"/>
          <w:szCs w:val="22"/>
        </w:rPr>
        <w:t>ld you be successful in your tender bid written notification will be provided to your organisation. Where the value of a contract exceeds £</w:t>
      </w:r>
      <w:r w:rsidR="00E148BD">
        <w:rPr>
          <w:rFonts w:ascii="Arial" w:hAnsi="Arial" w:cs="Arial"/>
          <w:sz w:val="22"/>
          <w:szCs w:val="22"/>
        </w:rPr>
        <w:t>250,000</w:t>
      </w:r>
      <w:r w:rsidR="00150093">
        <w:rPr>
          <w:rFonts w:ascii="Arial" w:hAnsi="Arial" w:cs="Arial"/>
          <w:sz w:val="22"/>
          <w:szCs w:val="22"/>
        </w:rPr>
        <w:t xml:space="preserve"> </w:t>
      </w:r>
      <w:r w:rsidR="000B4721" w:rsidRPr="00056C00">
        <w:rPr>
          <w:rFonts w:ascii="Arial" w:hAnsi="Arial" w:cs="Arial"/>
          <w:sz w:val="22"/>
          <w:szCs w:val="22"/>
        </w:rPr>
        <w:t xml:space="preserve">the Authority’s Legal Director </w:t>
      </w:r>
      <w:r w:rsidR="00E148BD">
        <w:rPr>
          <w:rFonts w:ascii="Arial" w:hAnsi="Arial" w:cs="Arial"/>
          <w:sz w:val="22"/>
          <w:szCs w:val="22"/>
        </w:rPr>
        <w:t>may</w:t>
      </w:r>
      <w:r w:rsidR="000B4721" w:rsidRPr="00056C00">
        <w:rPr>
          <w:rFonts w:ascii="Arial" w:hAnsi="Arial" w:cs="Arial"/>
          <w:sz w:val="22"/>
          <w:szCs w:val="22"/>
        </w:rPr>
        <w:t xml:space="preserve"> undertake to seal the contract with the Authority’s seal. </w:t>
      </w:r>
    </w:p>
    <w:p w14:paraId="2CB77EDB" w14:textId="77777777" w:rsidR="000B4721" w:rsidRDefault="000B4721">
      <w:pPr>
        <w:rPr>
          <w:sz w:val="24"/>
        </w:rPr>
      </w:pPr>
    </w:p>
    <w:p w14:paraId="168A669C" w14:textId="77777777" w:rsidR="0077666B" w:rsidRDefault="0077666B" w:rsidP="005C2937">
      <w:pPr>
        <w:rPr>
          <w:rFonts w:ascii="Arial" w:hAnsi="Arial" w:cs="Arial"/>
          <w:b/>
          <w:sz w:val="22"/>
          <w:szCs w:val="22"/>
          <w:u w:val="single"/>
        </w:rPr>
      </w:pPr>
    </w:p>
    <w:p w14:paraId="7F1C5038" w14:textId="469B7932" w:rsidR="00DA14DE" w:rsidRDefault="00DA14DE">
      <w:pPr>
        <w:rPr>
          <w:rFonts w:ascii="Arial" w:hAnsi="Arial" w:cs="Arial"/>
          <w:b/>
          <w:sz w:val="22"/>
          <w:szCs w:val="22"/>
          <w:u w:val="single"/>
        </w:rPr>
      </w:pPr>
    </w:p>
    <w:p w14:paraId="568F3A59" w14:textId="2786F2C6" w:rsidR="005C2937" w:rsidRPr="00A95D6D" w:rsidRDefault="005C2937" w:rsidP="005C2937">
      <w:pPr>
        <w:rPr>
          <w:rFonts w:ascii="Arial" w:hAnsi="Arial" w:cs="Arial"/>
          <w:b/>
          <w:sz w:val="22"/>
          <w:szCs w:val="22"/>
          <w:u w:val="single"/>
        </w:rPr>
      </w:pPr>
      <w:r>
        <w:rPr>
          <w:rFonts w:ascii="Arial" w:hAnsi="Arial" w:cs="Arial"/>
          <w:b/>
          <w:sz w:val="22"/>
          <w:szCs w:val="22"/>
          <w:u w:val="single"/>
        </w:rPr>
        <w:t>5</w:t>
      </w:r>
      <w:r w:rsidRPr="00A95D6D">
        <w:rPr>
          <w:rFonts w:ascii="Arial" w:hAnsi="Arial" w:cs="Arial"/>
          <w:b/>
          <w:sz w:val="22"/>
          <w:szCs w:val="22"/>
          <w:u w:val="single"/>
        </w:rPr>
        <w:t xml:space="preserve">.0 How to be aware of Business Opportunities </w:t>
      </w:r>
    </w:p>
    <w:p w14:paraId="4FBE53B4" w14:textId="77777777" w:rsidR="005C2937" w:rsidRPr="00A95D6D" w:rsidRDefault="005C2937" w:rsidP="005C2937">
      <w:pPr>
        <w:rPr>
          <w:rFonts w:ascii="Arial" w:hAnsi="Arial" w:cs="Arial"/>
          <w:sz w:val="22"/>
          <w:szCs w:val="22"/>
          <w:u w:val="single"/>
        </w:rPr>
      </w:pPr>
    </w:p>
    <w:p w14:paraId="539E0565" w14:textId="77777777" w:rsidR="005C2937" w:rsidRPr="00A95D6D" w:rsidRDefault="0077666B" w:rsidP="005C2937">
      <w:pPr>
        <w:pStyle w:val="Heading4"/>
        <w:rPr>
          <w:rFonts w:ascii="Arial" w:hAnsi="Arial" w:cs="Arial"/>
          <w:sz w:val="22"/>
          <w:szCs w:val="22"/>
        </w:rPr>
      </w:pPr>
      <w:r>
        <w:rPr>
          <w:rFonts w:ascii="Arial" w:hAnsi="Arial" w:cs="Arial"/>
          <w:sz w:val="22"/>
          <w:szCs w:val="22"/>
        </w:rPr>
        <w:t xml:space="preserve">The Chest Opportunities Portal </w:t>
      </w:r>
    </w:p>
    <w:p w14:paraId="7041C7D5" w14:textId="77777777" w:rsidR="005C2937" w:rsidRPr="00A95D6D" w:rsidRDefault="005C2937" w:rsidP="005C2937">
      <w:pPr>
        <w:rPr>
          <w:rFonts w:ascii="Arial" w:hAnsi="Arial" w:cs="Arial"/>
          <w:sz w:val="22"/>
          <w:szCs w:val="22"/>
          <w:u w:val="single"/>
        </w:rPr>
      </w:pPr>
    </w:p>
    <w:p w14:paraId="269C35E9" w14:textId="17AF03D7" w:rsidR="005C2937" w:rsidRDefault="005C2937" w:rsidP="005C2937">
      <w:pPr>
        <w:pStyle w:val="NormalWeb"/>
        <w:rPr>
          <w:rFonts w:ascii="Arial" w:hAnsi="Arial" w:cs="Arial"/>
          <w:sz w:val="22"/>
          <w:szCs w:val="22"/>
        </w:rPr>
      </w:pPr>
      <w:r w:rsidRPr="00A95D6D">
        <w:rPr>
          <w:rFonts w:ascii="Arial" w:hAnsi="Arial" w:cs="Arial"/>
          <w:sz w:val="22"/>
          <w:szCs w:val="22"/>
        </w:rPr>
        <w:t>In striving to improve the availability of information, tender advertisements will be published on the e</w:t>
      </w:r>
      <w:r w:rsidR="00B81FEA">
        <w:rPr>
          <w:rFonts w:ascii="Arial" w:hAnsi="Arial" w:cs="Arial"/>
          <w:sz w:val="22"/>
          <w:szCs w:val="22"/>
        </w:rPr>
        <w:t>lectronic opportunities</w:t>
      </w:r>
      <w:r w:rsidRPr="00A95D6D">
        <w:rPr>
          <w:rFonts w:ascii="Arial" w:hAnsi="Arial" w:cs="Arial"/>
          <w:sz w:val="22"/>
          <w:szCs w:val="22"/>
        </w:rPr>
        <w:t xml:space="preserve"> portal (known</w:t>
      </w:r>
      <w:r w:rsidR="00380480">
        <w:rPr>
          <w:rFonts w:ascii="Arial" w:hAnsi="Arial" w:cs="Arial"/>
          <w:sz w:val="22"/>
          <w:szCs w:val="22"/>
        </w:rPr>
        <w:t xml:space="preserve"> as</w:t>
      </w:r>
      <w:r w:rsidRPr="00A95D6D">
        <w:rPr>
          <w:rFonts w:ascii="Arial" w:hAnsi="Arial" w:cs="Arial"/>
          <w:sz w:val="22"/>
          <w:szCs w:val="22"/>
        </w:rPr>
        <w:t xml:space="preserve"> </w:t>
      </w:r>
      <w:hyperlink r:id="rId10" w:history="1">
        <w:r w:rsidRPr="00A95D6D">
          <w:rPr>
            <w:rStyle w:val="Hyperlink"/>
            <w:rFonts w:ascii="Arial" w:hAnsi="Arial" w:cs="Arial"/>
            <w:sz w:val="22"/>
            <w:szCs w:val="22"/>
          </w:rPr>
          <w:t>The Chest</w:t>
        </w:r>
      </w:hyperlink>
      <w:r w:rsidRPr="00A95D6D">
        <w:rPr>
          <w:rFonts w:ascii="Arial" w:hAnsi="Arial" w:cs="Arial"/>
          <w:sz w:val="22"/>
          <w:szCs w:val="22"/>
        </w:rPr>
        <w:t>) which has been adopted across Merse</w:t>
      </w:r>
      <w:r w:rsidR="0077666B">
        <w:rPr>
          <w:rFonts w:ascii="Arial" w:hAnsi="Arial" w:cs="Arial"/>
          <w:sz w:val="22"/>
          <w:szCs w:val="22"/>
        </w:rPr>
        <w:t>yside and the North West Region</w:t>
      </w:r>
      <w:r w:rsidRPr="00A95D6D">
        <w:rPr>
          <w:rFonts w:ascii="Arial" w:hAnsi="Arial" w:cs="Arial"/>
          <w:sz w:val="22"/>
          <w:szCs w:val="22"/>
        </w:rPr>
        <w:t xml:space="preserve"> to bring together buyers and suppliers making it easier for businesses to find out about new sources of potential revenue and to grow and develop to the benefit of the local economy. </w:t>
      </w:r>
    </w:p>
    <w:p w14:paraId="51CCE51D" w14:textId="77777777" w:rsidR="0077666B" w:rsidRDefault="0077666B" w:rsidP="005C2937">
      <w:pPr>
        <w:pStyle w:val="NormalWeb"/>
        <w:rPr>
          <w:rFonts w:ascii="Arial" w:hAnsi="Arial" w:cs="Arial"/>
          <w:sz w:val="22"/>
          <w:szCs w:val="22"/>
        </w:rPr>
      </w:pPr>
      <w:r>
        <w:rPr>
          <w:rFonts w:ascii="Arial" w:hAnsi="Arial" w:cs="Arial"/>
          <w:sz w:val="22"/>
          <w:szCs w:val="22"/>
        </w:rPr>
        <w:t>Registration on the Chest can be undertaken free of charge here :</w:t>
      </w:r>
    </w:p>
    <w:p w14:paraId="3C7E6F97" w14:textId="77777777" w:rsidR="0077666B" w:rsidRPr="00380480" w:rsidRDefault="00380480" w:rsidP="005C2937">
      <w:pPr>
        <w:pStyle w:val="NormalWeb"/>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"https://procontract.due-north.com/register" </w:instrText>
      </w:r>
      <w:r>
        <w:rPr>
          <w:rFonts w:ascii="Arial" w:hAnsi="Arial" w:cs="Arial"/>
          <w:sz w:val="22"/>
          <w:szCs w:val="22"/>
        </w:rPr>
      </w:r>
      <w:r>
        <w:rPr>
          <w:rFonts w:ascii="Arial" w:hAnsi="Arial" w:cs="Arial"/>
          <w:sz w:val="22"/>
          <w:szCs w:val="22"/>
        </w:rPr>
        <w:fldChar w:fldCharType="separate"/>
      </w:r>
      <w:r w:rsidR="0077666B" w:rsidRPr="00380480">
        <w:rPr>
          <w:rStyle w:val="Hyperlink"/>
          <w:rFonts w:ascii="Arial" w:hAnsi="Arial" w:cs="Arial"/>
          <w:sz w:val="22"/>
          <w:szCs w:val="22"/>
        </w:rPr>
        <w:t>Chest Free Registration</w:t>
      </w:r>
    </w:p>
    <w:p w14:paraId="598BB677" w14:textId="77777777" w:rsidR="005C2937" w:rsidRPr="00A95D6D" w:rsidRDefault="00380480" w:rsidP="005C2937">
      <w:pPr>
        <w:rPr>
          <w:rFonts w:ascii="Arial" w:hAnsi="Arial" w:cs="Arial"/>
          <w:sz w:val="22"/>
          <w:szCs w:val="22"/>
          <w:u w:val="single"/>
        </w:rPr>
      </w:pPr>
      <w:r>
        <w:rPr>
          <w:rFonts w:ascii="Arial" w:hAnsi="Arial" w:cs="Arial"/>
          <w:color w:val="000000"/>
          <w:sz w:val="22"/>
          <w:szCs w:val="22"/>
        </w:rPr>
        <w:fldChar w:fldCharType="end"/>
      </w:r>
    </w:p>
    <w:p w14:paraId="5FE3DF6D" w14:textId="2A98C0DA" w:rsidR="005C2937" w:rsidRPr="00A95D6D" w:rsidRDefault="00E148BD" w:rsidP="005C2937">
      <w:pPr>
        <w:pStyle w:val="Heading4"/>
        <w:rPr>
          <w:rFonts w:ascii="Arial" w:hAnsi="Arial" w:cs="Arial"/>
          <w:sz w:val="22"/>
          <w:szCs w:val="22"/>
        </w:rPr>
      </w:pPr>
      <w:r>
        <w:rPr>
          <w:rFonts w:ascii="Arial" w:hAnsi="Arial" w:cs="Arial"/>
          <w:sz w:val="22"/>
          <w:szCs w:val="22"/>
        </w:rPr>
        <w:t>Central Digital Platform (CDP)</w:t>
      </w:r>
      <w:r w:rsidR="00865523">
        <w:rPr>
          <w:rFonts w:ascii="Arial" w:hAnsi="Arial" w:cs="Arial"/>
          <w:sz w:val="22"/>
          <w:szCs w:val="22"/>
        </w:rPr>
        <w:t>)</w:t>
      </w:r>
    </w:p>
    <w:p w14:paraId="43FF3D87" w14:textId="77777777" w:rsidR="005C2937" w:rsidRPr="00A95D6D" w:rsidRDefault="005C2937" w:rsidP="005C2937">
      <w:pPr>
        <w:rPr>
          <w:rFonts w:ascii="Arial" w:hAnsi="Arial" w:cs="Arial"/>
          <w:sz w:val="22"/>
          <w:szCs w:val="22"/>
          <w:u w:val="single"/>
        </w:rPr>
      </w:pPr>
    </w:p>
    <w:p w14:paraId="33B50EA1" w14:textId="7B29B368" w:rsidR="005C2937" w:rsidRPr="00A95D6D" w:rsidRDefault="005C2937" w:rsidP="005C2937">
      <w:pPr>
        <w:rPr>
          <w:rFonts w:ascii="Arial" w:hAnsi="Arial" w:cs="Arial"/>
          <w:sz w:val="22"/>
          <w:szCs w:val="22"/>
        </w:rPr>
      </w:pPr>
      <w:r w:rsidRPr="00A95D6D">
        <w:rPr>
          <w:rFonts w:ascii="Arial" w:hAnsi="Arial" w:cs="Arial"/>
          <w:sz w:val="22"/>
          <w:szCs w:val="22"/>
        </w:rPr>
        <w:t xml:space="preserve">Where a contract is valued in excess of the relevant </w:t>
      </w:r>
      <w:r w:rsidR="00865523">
        <w:rPr>
          <w:rFonts w:ascii="Arial" w:hAnsi="Arial" w:cs="Arial"/>
          <w:sz w:val="22"/>
          <w:szCs w:val="22"/>
        </w:rPr>
        <w:t xml:space="preserve">Public Contracts Regulations Spend </w:t>
      </w:r>
      <w:r w:rsidRPr="00A95D6D">
        <w:rPr>
          <w:rFonts w:ascii="Arial" w:hAnsi="Arial" w:cs="Arial"/>
          <w:sz w:val="22"/>
          <w:szCs w:val="22"/>
        </w:rPr>
        <w:t xml:space="preserve">Threshold, dependent upon whether the contract is for Supplies, Services or Works, a </w:t>
      </w:r>
      <w:r w:rsidR="00B93BB1">
        <w:rPr>
          <w:rFonts w:ascii="Arial" w:hAnsi="Arial" w:cs="Arial"/>
          <w:sz w:val="22"/>
          <w:szCs w:val="22"/>
        </w:rPr>
        <w:t>Tender</w:t>
      </w:r>
      <w:r w:rsidRPr="00A95D6D">
        <w:rPr>
          <w:rFonts w:ascii="Arial" w:hAnsi="Arial" w:cs="Arial"/>
          <w:sz w:val="22"/>
          <w:szCs w:val="22"/>
        </w:rPr>
        <w:t xml:space="preserve"> Notice will also be placed </w:t>
      </w:r>
      <w:r w:rsidR="00B93BB1">
        <w:rPr>
          <w:rFonts w:ascii="Arial" w:hAnsi="Arial" w:cs="Arial"/>
          <w:sz w:val="22"/>
          <w:szCs w:val="22"/>
        </w:rPr>
        <w:t>on the CDP.</w:t>
      </w:r>
    </w:p>
    <w:p w14:paraId="43FF15CC" w14:textId="77777777" w:rsidR="005C2937" w:rsidRPr="00A95D6D" w:rsidRDefault="005C2937" w:rsidP="005C2937">
      <w:pPr>
        <w:rPr>
          <w:rFonts w:ascii="Arial" w:hAnsi="Arial" w:cs="Arial"/>
          <w:sz w:val="22"/>
          <w:szCs w:val="22"/>
        </w:rPr>
      </w:pPr>
    </w:p>
    <w:p w14:paraId="4CE694D8" w14:textId="64518C79" w:rsidR="005C2937" w:rsidRPr="00DA14DE" w:rsidRDefault="005C2937" w:rsidP="005C2937">
      <w:pPr>
        <w:rPr>
          <w:rFonts w:ascii="Arial" w:hAnsi="Arial" w:cs="Arial"/>
          <w:sz w:val="22"/>
          <w:szCs w:val="22"/>
        </w:rPr>
      </w:pPr>
    </w:p>
    <w:sectPr w:rsidR="005C2937" w:rsidRPr="00DA14DE" w:rsidSect="00AD301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9D30412"/>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0A994764"/>
    <w:multiLevelType w:val="hybridMultilevel"/>
    <w:tmpl w:val="A95A5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53111"/>
    <w:multiLevelType w:val="hybridMultilevel"/>
    <w:tmpl w:val="152EF676"/>
    <w:lvl w:ilvl="0" w:tplc="989AF6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2841CE"/>
    <w:multiLevelType w:val="hybridMultilevel"/>
    <w:tmpl w:val="8996A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32E17"/>
    <w:multiLevelType w:val="hybridMultilevel"/>
    <w:tmpl w:val="B49C3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C279D"/>
    <w:multiLevelType w:val="hybridMultilevel"/>
    <w:tmpl w:val="F4FAC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67CFE"/>
    <w:multiLevelType w:val="multilevel"/>
    <w:tmpl w:val="5968485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9B8412A"/>
    <w:multiLevelType w:val="hybridMultilevel"/>
    <w:tmpl w:val="4BC42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331ED"/>
    <w:multiLevelType w:val="hybridMultilevel"/>
    <w:tmpl w:val="0BCCE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4006D"/>
    <w:multiLevelType w:val="hybridMultilevel"/>
    <w:tmpl w:val="20223F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BB0556"/>
    <w:multiLevelType w:val="hybridMultilevel"/>
    <w:tmpl w:val="CB66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40943"/>
    <w:multiLevelType w:val="hybridMultilevel"/>
    <w:tmpl w:val="0E0C46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1314F4C"/>
    <w:multiLevelType w:val="hybridMultilevel"/>
    <w:tmpl w:val="C528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B05A5"/>
    <w:multiLevelType w:val="hybridMultilevel"/>
    <w:tmpl w:val="8E5AB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31EDC"/>
    <w:multiLevelType w:val="hybridMultilevel"/>
    <w:tmpl w:val="05E475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B010BE"/>
    <w:multiLevelType w:val="hybridMultilevel"/>
    <w:tmpl w:val="FA7ACE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A5B1404"/>
    <w:multiLevelType w:val="hybridMultilevel"/>
    <w:tmpl w:val="780E0F0E"/>
    <w:lvl w:ilvl="0" w:tplc="7E5E4116">
      <w:start w:val="1"/>
      <w:numFmt w:val="decimalZero"/>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294265"/>
    <w:multiLevelType w:val="hybridMultilevel"/>
    <w:tmpl w:val="9934F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B72E0"/>
    <w:multiLevelType w:val="hybridMultilevel"/>
    <w:tmpl w:val="95987C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6140B8"/>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733F1BD5"/>
    <w:multiLevelType w:val="hybridMultilevel"/>
    <w:tmpl w:val="CCA4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845885">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546721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377702125">
    <w:abstractNumId w:val="21"/>
  </w:num>
  <w:num w:numId="4" w16cid:durableId="1487362546">
    <w:abstractNumId w:val="2"/>
  </w:num>
  <w:num w:numId="5" w16cid:durableId="1883054774">
    <w:abstractNumId w:val="18"/>
  </w:num>
  <w:num w:numId="6" w16cid:durableId="56361222">
    <w:abstractNumId w:val="20"/>
  </w:num>
  <w:num w:numId="7" w16cid:durableId="2071921118">
    <w:abstractNumId w:val="11"/>
  </w:num>
  <w:num w:numId="8" w16cid:durableId="1307515622">
    <w:abstractNumId w:val="16"/>
  </w:num>
  <w:num w:numId="9" w16cid:durableId="1087264338">
    <w:abstractNumId w:val="9"/>
  </w:num>
  <w:num w:numId="10" w16cid:durableId="351108723">
    <w:abstractNumId w:val="7"/>
  </w:num>
  <w:num w:numId="11" w16cid:durableId="604119665">
    <w:abstractNumId w:val="17"/>
  </w:num>
  <w:num w:numId="12" w16cid:durableId="2020228801">
    <w:abstractNumId w:val="15"/>
  </w:num>
  <w:num w:numId="13" w16cid:durableId="1256092158">
    <w:abstractNumId w:val="19"/>
  </w:num>
  <w:num w:numId="14" w16cid:durableId="2104762913">
    <w:abstractNumId w:val="10"/>
  </w:num>
  <w:num w:numId="15" w16cid:durableId="897978647">
    <w:abstractNumId w:val="6"/>
  </w:num>
  <w:num w:numId="16" w16cid:durableId="1610509640">
    <w:abstractNumId w:val="5"/>
  </w:num>
  <w:num w:numId="17" w16cid:durableId="385839671">
    <w:abstractNumId w:val="8"/>
  </w:num>
  <w:num w:numId="18" w16cid:durableId="1036274668">
    <w:abstractNumId w:val="4"/>
  </w:num>
  <w:num w:numId="19" w16cid:durableId="1217473469">
    <w:abstractNumId w:val="12"/>
  </w:num>
  <w:num w:numId="20" w16cid:durableId="1721393689">
    <w:abstractNumId w:val="13"/>
  </w:num>
  <w:num w:numId="21" w16cid:durableId="1633630851">
    <w:abstractNumId w:val="22"/>
  </w:num>
  <w:num w:numId="22" w16cid:durableId="1040058416">
    <w:abstractNumId w:val="3"/>
  </w:num>
  <w:num w:numId="23" w16cid:durableId="510803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AF"/>
    <w:rsid w:val="0000440C"/>
    <w:rsid w:val="00004B00"/>
    <w:rsid w:val="0001654D"/>
    <w:rsid w:val="00017CBF"/>
    <w:rsid w:val="000203F5"/>
    <w:rsid w:val="0002363F"/>
    <w:rsid w:val="00056C00"/>
    <w:rsid w:val="00061953"/>
    <w:rsid w:val="000A3C04"/>
    <w:rsid w:val="000B4721"/>
    <w:rsid w:val="000D082E"/>
    <w:rsid w:val="000E09A3"/>
    <w:rsid w:val="000E2602"/>
    <w:rsid w:val="00101864"/>
    <w:rsid w:val="00107F86"/>
    <w:rsid w:val="00117221"/>
    <w:rsid w:val="001270E3"/>
    <w:rsid w:val="001343B5"/>
    <w:rsid w:val="00150093"/>
    <w:rsid w:val="001535F8"/>
    <w:rsid w:val="0017594C"/>
    <w:rsid w:val="001B1C72"/>
    <w:rsid w:val="001D1CB3"/>
    <w:rsid w:val="00224DFD"/>
    <w:rsid w:val="00230FAF"/>
    <w:rsid w:val="002559D0"/>
    <w:rsid w:val="00260780"/>
    <w:rsid w:val="002954C8"/>
    <w:rsid w:val="002C4062"/>
    <w:rsid w:val="002C54AB"/>
    <w:rsid w:val="002D7771"/>
    <w:rsid w:val="002F1CBA"/>
    <w:rsid w:val="002F44CD"/>
    <w:rsid w:val="003160D8"/>
    <w:rsid w:val="00344CDB"/>
    <w:rsid w:val="00362F54"/>
    <w:rsid w:val="003706A7"/>
    <w:rsid w:val="00372C88"/>
    <w:rsid w:val="00373822"/>
    <w:rsid w:val="00380480"/>
    <w:rsid w:val="0038630F"/>
    <w:rsid w:val="00397C46"/>
    <w:rsid w:val="003A66A9"/>
    <w:rsid w:val="003A7EE8"/>
    <w:rsid w:val="003C305D"/>
    <w:rsid w:val="003D2E14"/>
    <w:rsid w:val="003F3C3C"/>
    <w:rsid w:val="00407B4D"/>
    <w:rsid w:val="0041711B"/>
    <w:rsid w:val="004356DE"/>
    <w:rsid w:val="00436D3F"/>
    <w:rsid w:val="00437558"/>
    <w:rsid w:val="0045466B"/>
    <w:rsid w:val="00462547"/>
    <w:rsid w:val="00483C34"/>
    <w:rsid w:val="00490353"/>
    <w:rsid w:val="00494F3C"/>
    <w:rsid w:val="004A624D"/>
    <w:rsid w:val="004B6AC3"/>
    <w:rsid w:val="004C28F8"/>
    <w:rsid w:val="004E6B0B"/>
    <w:rsid w:val="004E7DF2"/>
    <w:rsid w:val="004F5359"/>
    <w:rsid w:val="00500C57"/>
    <w:rsid w:val="00502D80"/>
    <w:rsid w:val="005265EF"/>
    <w:rsid w:val="0053269D"/>
    <w:rsid w:val="005476F6"/>
    <w:rsid w:val="00562A33"/>
    <w:rsid w:val="005959B4"/>
    <w:rsid w:val="005959DA"/>
    <w:rsid w:val="005A3B2B"/>
    <w:rsid w:val="005A4466"/>
    <w:rsid w:val="005C2937"/>
    <w:rsid w:val="005C5FAB"/>
    <w:rsid w:val="005E5DDC"/>
    <w:rsid w:val="006049E9"/>
    <w:rsid w:val="00610F3C"/>
    <w:rsid w:val="0061333A"/>
    <w:rsid w:val="00613E90"/>
    <w:rsid w:val="0063697E"/>
    <w:rsid w:val="006A181D"/>
    <w:rsid w:val="006E263F"/>
    <w:rsid w:val="006F27A6"/>
    <w:rsid w:val="006F6163"/>
    <w:rsid w:val="00702834"/>
    <w:rsid w:val="00703941"/>
    <w:rsid w:val="00707F00"/>
    <w:rsid w:val="00721F3F"/>
    <w:rsid w:val="00740B0F"/>
    <w:rsid w:val="007422CD"/>
    <w:rsid w:val="00751D6E"/>
    <w:rsid w:val="00754672"/>
    <w:rsid w:val="00774287"/>
    <w:rsid w:val="0077666B"/>
    <w:rsid w:val="007A0E18"/>
    <w:rsid w:val="007B0156"/>
    <w:rsid w:val="007B4564"/>
    <w:rsid w:val="007C1A45"/>
    <w:rsid w:val="007C23E3"/>
    <w:rsid w:val="007C60BE"/>
    <w:rsid w:val="007E3191"/>
    <w:rsid w:val="007F3BDB"/>
    <w:rsid w:val="00807A83"/>
    <w:rsid w:val="00812774"/>
    <w:rsid w:val="00813430"/>
    <w:rsid w:val="00816B64"/>
    <w:rsid w:val="00823653"/>
    <w:rsid w:val="008265BF"/>
    <w:rsid w:val="0083149C"/>
    <w:rsid w:val="00851845"/>
    <w:rsid w:val="00860671"/>
    <w:rsid w:val="00865523"/>
    <w:rsid w:val="00881958"/>
    <w:rsid w:val="008900B0"/>
    <w:rsid w:val="008A2944"/>
    <w:rsid w:val="008B22A3"/>
    <w:rsid w:val="008C1D55"/>
    <w:rsid w:val="008C3E25"/>
    <w:rsid w:val="008D28BE"/>
    <w:rsid w:val="008D2A02"/>
    <w:rsid w:val="008F2BEF"/>
    <w:rsid w:val="0090611B"/>
    <w:rsid w:val="009318C2"/>
    <w:rsid w:val="00941232"/>
    <w:rsid w:val="00952B19"/>
    <w:rsid w:val="009717ED"/>
    <w:rsid w:val="009728C3"/>
    <w:rsid w:val="0098230D"/>
    <w:rsid w:val="009B0FC9"/>
    <w:rsid w:val="009B1168"/>
    <w:rsid w:val="009C37B7"/>
    <w:rsid w:val="009D7B2C"/>
    <w:rsid w:val="009E7A24"/>
    <w:rsid w:val="00A14DFE"/>
    <w:rsid w:val="00A47AE3"/>
    <w:rsid w:val="00A65074"/>
    <w:rsid w:val="00A70BD3"/>
    <w:rsid w:val="00A81199"/>
    <w:rsid w:val="00A86EF3"/>
    <w:rsid w:val="00A95D6D"/>
    <w:rsid w:val="00AA4352"/>
    <w:rsid w:val="00AD3013"/>
    <w:rsid w:val="00B13688"/>
    <w:rsid w:val="00B3003E"/>
    <w:rsid w:val="00B4359E"/>
    <w:rsid w:val="00B4562F"/>
    <w:rsid w:val="00B519B8"/>
    <w:rsid w:val="00B51AD2"/>
    <w:rsid w:val="00B535F8"/>
    <w:rsid w:val="00B540C4"/>
    <w:rsid w:val="00B557BE"/>
    <w:rsid w:val="00B620C7"/>
    <w:rsid w:val="00B81FEA"/>
    <w:rsid w:val="00B87339"/>
    <w:rsid w:val="00B93BB1"/>
    <w:rsid w:val="00BA40E7"/>
    <w:rsid w:val="00BE1A8A"/>
    <w:rsid w:val="00BE6D61"/>
    <w:rsid w:val="00C15774"/>
    <w:rsid w:val="00C33B61"/>
    <w:rsid w:val="00C33D75"/>
    <w:rsid w:val="00C37455"/>
    <w:rsid w:val="00C4506E"/>
    <w:rsid w:val="00C503DF"/>
    <w:rsid w:val="00C60626"/>
    <w:rsid w:val="00C65FC7"/>
    <w:rsid w:val="00C67018"/>
    <w:rsid w:val="00C85310"/>
    <w:rsid w:val="00CA6EFC"/>
    <w:rsid w:val="00CB43FE"/>
    <w:rsid w:val="00CB7C00"/>
    <w:rsid w:val="00CC2F16"/>
    <w:rsid w:val="00CE7B87"/>
    <w:rsid w:val="00CF7DA8"/>
    <w:rsid w:val="00D239CE"/>
    <w:rsid w:val="00D44C48"/>
    <w:rsid w:val="00D51C5F"/>
    <w:rsid w:val="00D62BA4"/>
    <w:rsid w:val="00D702F3"/>
    <w:rsid w:val="00D82DAA"/>
    <w:rsid w:val="00D84F4C"/>
    <w:rsid w:val="00DA14DE"/>
    <w:rsid w:val="00DC0676"/>
    <w:rsid w:val="00DC20B4"/>
    <w:rsid w:val="00DD17B5"/>
    <w:rsid w:val="00DD778D"/>
    <w:rsid w:val="00DE15D5"/>
    <w:rsid w:val="00DE651C"/>
    <w:rsid w:val="00DF1156"/>
    <w:rsid w:val="00DF1F2D"/>
    <w:rsid w:val="00DF4D57"/>
    <w:rsid w:val="00E073D0"/>
    <w:rsid w:val="00E145B5"/>
    <w:rsid w:val="00E148BD"/>
    <w:rsid w:val="00E47B6D"/>
    <w:rsid w:val="00E53DB3"/>
    <w:rsid w:val="00E54B35"/>
    <w:rsid w:val="00E7534A"/>
    <w:rsid w:val="00E83B7F"/>
    <w:rsid w:val="00E908EB"/>
    <w:rsid w:val="00EB36E5"/>
    <w:rsid w:val="00EB6AEE"/>
    <w:rsid w:val="00EC7173"/>
    <w:rsid w:val="00ED47EF"/>
    <w:rsid w:val="00EF0B20"/>
    <w:rsid w:val="00EF3ABE"/>
    <w:rsid w:val="00EF6321"/>
    <w:rsid w:val="00F00E6D"/>
    <w:rsid w:val="00F37C8D"/>
    <w:rsid w:val="00F44290"/>
    <w:rsid w:val="00F46FB7"/>
    <w:rsid w:val="00F72F01"/>
    <w:rsid w:val="00F83236"/>
    <w:rsid w:val="00FA2B7C"/>
    <w:rsid w:val="00FB7461"/>
    <w:rsid w:val="00FD03F9"/>
    <w:rsid w:val="00FD3851"/>
    <w:rsid w:val="00FD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4E30E"/>
  <w15:docId w15:val="{A43CE754-0D9E-458B-B388-0AB1C2FC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013"/>
  </w:style>
  <w:style w:type="paragraph" w:styleId="Heading1">
    <w:name w:val="heading 1"/>
    <w:basedOn w:val="Normal"/>
    <w:next w:val="Normal"/>
    <w:qFormat/>
    <w:rsid w:val="00AD3013"/>
    <w:pPr>
      <w:keepNext/>
      <w:jc w:val="center"/>
      <w:outlineLvl w:val="0"/>
    </w:pPr>
    <w:rPr>
      <w:sz w:val="32"/>
    </w:rPr>
  </w:style>
  <w:style w:type="paragraph" w:styleId="Heading2">
    <w:name w:val="heading 2"/>
    <w:basedOn w:val="Normal"/>
    <w:next w:val="Normal"/>
    <w:qFormat/>
    <w:rsid w:val="00AD3013"/>
    <w:pPr>
      <w:keepNext/>
      <w:outlineLvl w:val="1"/>
    </w:pPr>
    <w:rPr>
      <w:sz w:val="24"/>
      <w:u w:val="single"/>
    </w:rPr>
  </w:style>
  <w:style w:type="paragraph" w:styleId="Heading3">
    <w:name w:val="heading 3"/>
    <w:basedOn w:val="Normal"/>
    <w:next w:val="Normal"/>
    <w:qFormat/>
    <w:rsid w:val="00AD3013"/>
    <w:pPr>
      <w:keepNext/>
      <w:jc w:val="both"/>
      <w:outlineLvl w:val="2"/>
    </w:pPr>
    <w:rPr>
      <w:b/>
      <w:u w:val="single"/>
    </w:rPr>
  </w:style>
  <w:style w:type="paragraph" w:styleId="Heading4">
    <w:name w:val="heading 4"/>
    <w:basedOn w:val="Normal"/>
    <w:next w:val="Normal"/>
    <w:qFormat/>
    <w:rsid w:val="00AD3013"/>
    <w:pPr>
      <w:keepNext/>
      <w:outlineLvl w:val="3"/>
    </w:pPr>
    <w:rPr>
      <w:u w:val="single"/>
    </w:rPr>
  </w:style>
  <w:style w:type="paragraph" w:styleId="Heading5">
    <w:name w:val="heading 5"/>
    <w:basedOn w:val="Normal"/>
    <w:next w:val="Normal"/>
    <w:qFormat/>
    <w:rsid w:val="00AD3013"/>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013"/>
    <w:rPr>
      <w:sz w:val="24"/>
    </w:rPr>
  </w:style>
  <w:style w:type="paragraph" w:styleId="BodyText2">
    <w:name w:val="Body Text 2"/>
    <w:basedOn w:val="Normal"/>
    <w:rsid w:val="00AD3013"/>
    <w:pPr>
      <w:jc w:val="both"/>
    </w:pPr>
    <w:rPr>
      <w:sz w:val="24"/>
    </w:rPr>
  </w:style>
  <w:style w:type="paragraph" w:customStyle="1" w:styleId="H1">
    <w:name w:val="H1"/>
    <w:basedOn w:val="Normal"/>
    <w:next w:val="Normal"/>
    <w:rsid w:val="00AD3013"/>
    <w:pPr>
      <w:keepNext/>
      <w:spacing w:before="100" w:after="100"/>
      <w:outlineLvl w:val="1"/>
    </w:pPr>
    <w:rPr>
      <w:b/>
      <w:snapToGrid w:val="0"/>
      <w:kern w:val="36"/>
      <w:sz w:val="48"/>
      <w:lang w:eastAsia="en-US"/>
    </w:rPr>
  </w:style>
  <w:style w:type="paragraph" w:customStyle="1" w:styleId="H2">
    <w:name w:val="H2"/>
    <w:basedOn w:val="Normal"/>
    <w:next w:val="Normal"/>
    <w:rsid w:val="00AD3013"/>
    <w:pPr>
      <w:keepNext/>
      <w:spacing w:before="100" w:after="100"/>
      <w:outlineLvl w:val="2"/>
    </w:pPr>
    <w:rPr>
      <w:b/>
      <w:snapToGrid w:val="0"/>
      <w:sz w:val="36"/>
      <w:lang w:eastAsia="en-US"/>
    </w:rPr>
  </w:style>
  <w:style w:type="paragraph" w:customStyle="1" w:styleId="H3">
    <w:name w:val="H3"/>
    <w:basedOn w:val="Normal"/>
    <w:next w:val="Normal"/>
    <w:rsid w:val="00AD3013"/>
    <w:pPr>
      <w:keepNext/>
      <w:spacing w:before="100" w:after="100"/>
      <w:outlineLvl w:val="3"/>
    </w:pPr>
    <w:rPr>
      <w:b/>
      <w:snapToGrid w:val="0"/>
      <w:sz w:val="28"/>
      <w:lang w:eastAsia="en-US"/>
    </w:rPr>
  </w:style>
  <w:style w:type="character" w:styleId="Hyperlink">
    <w:name w:val="Hyperlink"/>
    <w:basedOn w:val="DefaultParagraphFont"/>
    <w:rsid w:val="00AD3013"/>
    <w:rPr>
      <w:color w:val="0000FF"/>
      <w:u w:val="single"/>
    </w:rPr>
  </w:style>
  <w:style w:type="character" w:styleId="FollowedHyperlink">
    <w:name w:val="FollowedHyperlink"/>
    <w:basedOn w:val="DefaultParagraphFont"/>
    <w:rsid w:val="00AD3013"/>
    <w:rPr>
      <w:color w:val="800080"/>
      <w:u w:val="single"/>
    </w:rPr>
  </w:style>
  <w:style w:type="paragraph" w:styleId="NormalWeb">
    <w:name w:val="Normal (Web)"/>
    <w:basedOn w:val="Normal"/>
    <w:rsid w:val="00230FAF"/>
    <w:pPr>
      <w:spacing w:before="100" w:beforeAutospacing="1" w:after="100" w:afterAutospacing="1"/>
    </w:pPr>
    <w:rPr>
      <w:color w:val="000000"/>
      <w:sz w:val="24"/>
      <w:szCs w:val="24"/>
    </w:rPr>
  </w:style>
  <w:style w:type="paragraph" w:styleId="BalloonText">
    <w:name w:val="Balloon Text"/>
    <w:basedOn w:val="Normal"/>
    <w:link w:val="BalloonTextChar"/>
    <w:rsid w:val="00751D6E"/>
    <w:rPr>
      <w:rFonts w:ascii="Tahoma" w:hAnsi="Tahoma" w:cs="Tahoma"/>
      <w:sz w:val="16"/>
      <w:szCs w:val="16"/>
    </w:rPr>
  </w:style>
  <w:style w:type="character" w:customStyle="1" w:styleId="BalloonTextChar">
    <w:name w:val="Balloon Text Char"/>
    <w:basedOn w:val="DefaultParagraphFont"/>
    <w:link w:val="BalloonText"/>
    <w:rsid w:val="00751D6E"/>
    <w:rPr>
      <w:rFonts w:ascii="Tahoma" w:hAnsi="Tahoma" w:cs="Tahoma"/>
      <w:sz w:val="16"/>
      <w:szCs w:val="16"/>
    </w:rPr>
  </w:style>
  <w:style w:type="paragraph" w:styleId="ListParagraph">
    <w:name w:val="List Paragraph"/>
    <w:basedOn w:val="Normal"/>
    <w:uiPriority w:val="34"/>
    <w:qFormat/>
    <w:rsid w:val="00751D6E"/>
    <w:pPr>
      <w:ind w:left="720"/>
    </w:pPr>
  </w:style>
  <w:style w:type="table" w:styleId="TableGrid">
    <w:name w:val="Table Grid"/>
    <w:basedOn w:val="TableNormal"/>
    <w:rsid w:val="00B6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52B19"/>
    <w:rPr>
      <w:sz w:val="16"/>
      <w:szCs w:val="16"/>
    </w:rPr>
  </w:style>
  <w:style w:type="paragraph" w:styleId="CommentText">
    <w:name w:val="annotation text"/>
    <w:basedOn w:val="Normal"/>
    <w:link w:val="CommentTextChar"/>
    <w:unhideWhenUsed/>
    <w:rsid w:val="00952B19"/>
  </w:style>
  <w:style w:type="character" w:customStyle="1" w:styleId="CommentTextChar">
    <w:name w:val="Comment Text Char"/>
    <w:basedOn w:val="DefaultParagraphFont"/>
    <w:link w:val="CommentText"/>
    <w:rsid w:val="00952B19"/>
  </w:style>
  <w:style w:type="paragraph" w:styleId="CommentSubject">
    <w:name w:val="annotation subject"/>
    <w:basedOn w:val="CommentText"/>
    <w:next w:val="CommentText"/>
    <w:link w:val="CommentSubjectChar"/>
    <w:semiHidden/>
    <w:unhideWhenUsed/>
    <w:rsid w:val="00952B19"/>
    <w:rPr>
      <w:b/>
      <w:bCs/>
    </w:rPr>
  </w:style>
  <w:style w:type="character" w:customStyle="1" w:styleId="CommentSubjectChar">
    <w:name w:val="Comment Subject Char"/>
    <w:basedOn w:val="CommentTextChar"/>
    <w:link w:val="CommentSubject"/>
    <w:semiHidden/>
    <w:rsid w:val="00952B19"/>
    <w:rPr>
      <w:b/>
      <w:bCs/>
    </w:rPr>
  </w:style>
  <w:style w:type="character" w:styleId="UnresolvedMention">
    <w:name w:val="Unresolved Mention"/>
    <w:basedOn w:val="DefaultParagraphFont"/>
    <w:uiPriority w:val="99"/>
    <w:semiHidden/>
    <w:unhideWhenUsed/>
    <w:rsid w:val="00C33B61"/>
    <w:rPr>
      <w:color w:val="605E5C"/>
      <w:shd w:val="clear" w:color="auto" w:fill="E1DFDD"/>
    </w:rPr>
  </w:style>
  <w:style w:type="paragraph" w:styleId="Revision">
    <w:name w:val="Revision"/>
    <w:hidden/>
    <w:uiPriority w:val="99"/>
    <w:semiHidden/>
    <w:rsid w:val="00B4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31606">
      <w:bodyDiv w:val="1"/>
      <w:marLeft w:val="0"/>
      <w:marRight w:val="0"/>
      <w:marTop w:val="0"/>
      <w:marBottom w:val="0"/>
      <w:divBdr>
        <w:top w:val="none" w:sz="0" w:space="0" w:color="auto"/>
        <w:left w:val="none" w:sz="0" w:space="0" w:color="auto"/>
        <w:bottom w:val="none" w:sz="0" w:space="0" w:color="auto"/>
        <w:right w:val="none" w:sz="0" w:space="0" w:color="auto"/>
      </w:divBdr>
      <w:divsChild>
        <w:div w:id="1804468804">
          <w:marLeft w:val="0"/>
          <w:marRight w:val="0"/>
          <w:marTop w:val="0"/>
          <w:marBottom w:val="0"/>
          <w:divBdr>
            <w:top w:val="none" w:sz="0" w:space="0" w:color="auto"/>
            <w:left w:val="none" w:sz="0" w:space="0" w:color="auto"/>
            <w:bottom w:val="none" w:sz="0" w:space="0" w:color="auto"/>
            <w:right w:val="none" w:sz="0" w:space="0" w:color="auto"/>
          </w:divBdr>
          <w:divsChild>
            <w:div w:id="1143425329">
              <w:marLeft w:val="0"/>
              <w:marRight w:val="0"/>
              <w:marTop w:val="0"/>
              <w:marBottom w:val="0"/>
              <w:divBdr>
                <w:top w:val="none" w:sz="0" w:space="0" w:color="auto"/>
                <w:left w:val="none" w:sz="0" w:space="0" w:color="auto"/>
                <w:bottom w:val="none" w:sz="0" w:space="0" w:color="auto"/>
                <w:right w:val="none" w:sz="0" w:space="0" w:color="auto"/>
              </w:divBdr>
              <w:divsChild>
                <w:div w:id="1478109529">
                  <w:marLeft w:val="0"/>
                  <w:marRight w:val="0"/>
                  <w:marTop w:val="0"/>
                  <w:marBottom w:val="0"/>
                  <w:divBdr>
                    <w:top w:val="none" w:sz="0" w:space="0" w:color="auto"/>
                    <w:left w:val="none" w:sz="0" w:space="0" w:color="auto"/>
                    <w:bottom w:val="none" w:sz="0" w:space="0" w:color="auto"/>
                    <w:right w:val="none" w:sz="0" w:space="0" w:color="auto"/>
                  </w:divBdr>
                  <w:divsChild>
                    <w:div w:id="998771982">
                      <w:marLeft w:val="0"/>
                      <w:marRight w:val="0"/>
                      <w:marTop w:val="0"/>
                      <w:marBottom w:val="0"/>
                      <w:divBdr>
                        <w:top w:val="none" w:sz="0" w:space="0" w:color="auto"/>
                        <w:left w:val="none" w:sz="0" w:space="0" w:color="auto"/>
                        <w:bottom w:val="none" w:sz="0" w:space="0" w:color="auto"/>
                        <w:right w:val="none" w:sz="0" w:space="0" w:color="auto"/>
                      </w:divBdr>
                      <w:divsChild>
                        <w:div w:id="1694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he-chest.org.uk/" TargetMode="External"/><Relationship Id="rId4" Type="http://schemas.openxmlformats.org/officeDocument/2006/relationships/customXml" Target="../customXml/item4.xml"/><Relationship Id="rId9" Type="http://schemas.openxmlformats.org/officeDocument/2006/relationships/hyperlink" Target="https://www.sefton.gov.uk/media/6812/contract-procedure-rules-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6b430-0023-4196-a7ef-13fb7c8df523">
      <Terms xmlns="http://schemas.microsoft.com/office/infopath/2007/PartnerControls"/>
    </lcf76f155ced4ddcb4097134ff3c332f>
    <TaxCatchAll xmlns="a076a951-0343-4aff-969e-6ecb0148f4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1F701ADE002243AD7F95F64300519D" ma:contentTypeVersion="18" ma:contentTypeDescription="Create a new document." ma:contentTypeScope="" ma:versionID="a401a1e27083552ca335f82baf442c29">
  <xsd:schema xmlns:xsd="http://www.w3.org/2001/XMLSchema" xmlns:xs="http://www.w3.org/2001/XMLSchema" xmlns:p="http://schemas.microsoft.com/office/2006/metadata/properties" xmlns:ns2="6176b430-0023-4196-a7ef-13fb7c8df523" xmlns:ns3="a076a951-0343-4aff-969e-6ecb0148f4cc" targetNamespace="http://schemas.microsoft.com/office/2006/metadata/properties" ma:root="true" ma:fieldsID="6f2af7add78b1c66c5a4d1a8e2ebb30c" ns2:_="" ns3:_="">
    <xsd:import namespace="6176b430-0023-4196-a7ef-13fb7c8df523"/>
    <xsd:import namespace="a076a951-0343-4aff-969e-6ecb0148f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6b430-0023-4196-a7ef-13fb7c8df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76a951-0343-4aff-969e-6ecb0148f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3fb394-7df9-453b-9caa-8ffbdc3a0128}" ma:internalName="TaxCatchAll" ma:showField="CatchAllData" ma:web="a076a951-0343-4aff-969e-6ecb0148f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1220E-200C-4A7F-93D9-0B3200624D7C}">
  <ds:schemaRefs>
    <ds:schemaRef ds:uri="http://schemas.microsoft.com/office/2006/metadata/properties"/>
    <ds:schemaRef ds:uri="http://schemas.microsoft.com/office/infopath/2007/PartnerControls"/>
    <ds:schemaRef ds:uri="6176b430-0023-4196-a7ef-13fb7c8df523"/>
    <ds:schemaRef ds:uri="a076a951-0343-4aff-969e-6ecb0148f4cc"/>
  </ds:schemaRefs>
</ds:datastoreItem>
</file>

<file path=customXml/itemProps2.xml><?xml version="1.0" encoding="utf-8"?>
<ds:datastoreItem xmlns:ds="http://schemas.openxmlformats.org/officeDocument/2006/customXml" ds:itemID="{EFAE8479-CD6E-4031-9454-B98643952633}">
  <ds:schemaRefs>
    <ds:schemaRef ds:uri="http://schemas.microsoft.com/sharepoint/v3/contenttype/forms"/>
  </ds:schemaRefs>
</ds:datastoreItem>
</file>

<file path=customXml/itemProps3.xml><?xml version="1.0" encoding="utf-8"?>
<ds:datastoreItem xmlns:ds="http://schemas.openxmlformats.org/officeDocument/2006/customXml" ds:itemID="{A6D433C1-BCC2-4222-BB4C-0A86BDEA7218}">
  <ds:schemaRefs>
    <ds:schemaRef ds:uri="http://schemas.openxmlformats.org/officeDocument/2006/bibliography"/>
  </ds:schemaRefs>
</ds:datastoreItem>
</file>

<file path=customXml/itemProps4.xml><?xml version="1.0" encoding="utf-8"?>
<ds:datastoreItem xmlns:ds="http://schemas.openxmlformats.org/officeDocument/2006/customXml" ds:itemID="{650FE963-7227-435E-A35B-1E658CEDD02D}"/>
</file>

<file path=docProps/app.xml><?xml version="1.0" encoding="utf-8"?>
<Properties xmlns="http://schemas.openxmlformats.org/officeDocument/2006/extended-properties" xmlns:vt="http://schemas.openxmlformats.org/officeDocument/2006/docPropsVTypes">
  <Template>Normal</Template>
  <TotalTime>3</TotalTime>
  <Pages>8</Pages>
  <Words>2313</Words>
  <Characters>13276</Characters>
  <Application>Microsoft Office Word</Application>
  <DocSecurity>0</DocSecurity>
  <Lines>491</Lines>
  <Paragraphs>181</Paragraphs>
  <ScaleCrop>false</ScaleCrop>
  <HeadingPairs>
    <vt:vector size="2" baseType="variant">
      <vt:variant>
        <vt:lpstr>Title</vt:lpstr>
      </vt:variant>
      <vt:variant>
        <vt:i4>1</vt:i4>
      </vt:variant>
    </vt:vector>
  </HeadingPairs>
  <TitlesOfParts>
    <vt:vector size="1" baseType="lpstr">
      <vt:lpstr>How To Do Business With</vt:lpstr>
    </vt:vector>
  </TitlesOfParts>
  <Company>Sefton MBC</Company>
  <LinksUpToDate>false</LinksUpToDate>
  <CharactersWithSpaces>15408</CharactersWithSpaces>
  <SharedDoc>false</SharedDoc>
  <HLinks>
    <vt:vector size="24" baseType="variant">
      <vt:variant>
        <vt:i4>5636106</vt:i4>
      </vt:variant>
      <vt:variant>
        <vt:i4>9</vt:i4>
      </vt:variant>
      <vt:variant>
        <vt:i4>0</vt:i4>
      </vt:variant>
      <vt:variant>
        <vt:i4>5</vt:i4>
      </vt:variant>
      <vt:variant>
        <vt:lpwstr>http://ted.europa.eu/TED/main/HomePage.do</vt:lpwstr>
      </vt:variant>
      <vt:variant>
        <vt:lpwstr/>
      </vt:variant>
      <vt:variant>
        <vt:i4>1900637</vt:i4>
      </vt:variant>
      <vt:variant>
        <vt:i4>6</vt:i4>
      </vt:variant>
      <vt:variant>
        <vt:i4>0</vt:i4>
      </vt:variant>
      <vt:variant>
        <vt:i4>5</vt:i4>
      </vt:variant>
      <vt:variant>
        <vt:lpwstr>http://www.tso.co.uk/bookshop/bookstore.asp?FO=1164337&amp;Action=Book&amp;ProductID=7901017</vt:lpwstr>
      </vt:variant>
      <vt:variant>
        <vt:lpwstr/>
      </vt:variant>
      <vt:variant>
        <vt:i4>983134</vt:i4>
      </vt:variant>
      <vt:variant>
        <vt:i4>3</vt:i4>
      </vt:variant>
      <vt:variant>
        <vt:i4>0</vt:i4>
      </vt:variant>
      <vt:variant>
        <vt:i4>5</vt:i4>
      </vt:variant>
      <vt:variant>
        <vt:lpwstr>https://www.the-chest.org.uk/</vt:lpwstr>
      </vt:variant>
      <vt:variant>
        <vt:lpwstr/>
      </vt:variant>
      <vt:variant>
        <vt:i4>7864375</vt:i4>
      </vt:variant>
      <vt:variant>
        <vt:i4>0</vt:i4>
      </vt:variant>
      <vt:variant>
        <vt:i4>0</vt:i4>
      </vt:variant>
      <vt:variant>
        <vt:i4>5</vt:i4>
      </vt:variant>
      <vt:variant>
        <vt:lpwstr>http://www.sefton.gov.uk/Default.aspx?page=4405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Business With</dc:title>
  <dc:creator>MAGEC</dc:creator>
  <cp:lastModifiedBy>Brenda Hester</cp:lastModifiedBy>
  <cp:revision>7</cp:revision>
  <cp:lastPrinted>2014-05-07T11:49:00Z</cp:lastPrinted>
  <dcterms:created xsi:type="dcterms:W3CDTF">2025-11-27T17:16:00Z</dcterms:created>
  <dcterms:modified xsi:type="dcterms:W3CDTF">2025-11-27T17:19:00Z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0x010100B41F701ADE002243AD7F95F64300519D</vt:lpwstr>
  </property>
  <property fmtid="{D5CDD505-2E9C-101B-9397-08002B2CF9AE}" pid="3" name="Order">
    <vt:r8>1874000</vt:r8>
  </property>
  <property fmtid="{D5CDD505-2E9C-101B-9397-08002B2CF9AE}" pid="4" name="MediaServiceImageTags">
    <vt:lpwstr/>
  </property>
</Properties>
</file>