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06A4" w14:textId="7BB25143" w:rsidR="00A92591" w:rsidRDefault="00C568E7" w:rsidP="00C568E7">
      <w:pPr>
        <w:jc w:val="right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GB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GB"/>
        </w:rPr>
        <w:t>APPENDIX 1</w:t>
      </w:r>
    </w:p>
    <w:p w14:paraId="0C8451C6" w14:textId="77777777" w:rsidR="002F3F82" w:rsidRDefault="002F3F82" w:rsidP="398C998A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en-GB"/>
        </w:rPr>
      </w:pPr>
    </w:p>
    <w:p w14:paraId="25C71A71" w14:textId="01900108" w:rsidR="00A06EC4" w:rsidRPr="00D949D6" w:rsidRDefault="00C568E7" w:rsidP="398C998A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D949D6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en-GB"/>
        </w:rPr>
        <w:t xml:space="preserve">Update on </w:t>
      </w:r>
      <w:r w:rsidR="009B1EAE" w:rsidRPr="00D949D6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en-GB"/>
        </w:rPr>
        <w:t>the c</w:t>
      </w:r>
      <w:r w:rsidR="331D5806" w:rsidRPr="00D949D6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en-GB"/>
        </w:rPr>
        <w:t>urrent High Needs Forecast</w:t>
      </w:r>
      <w:r w:rsidRPr="00D949D6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en-GB"/>
        </w:rPr>
        <w:t xml:space="preserve"> 2023/24</w:t>
      </w:r>
    </w:p>
    <w:p w14:paraId="2C078E63" w14:textId="4ECAC042" w:rsidR="00A06EC4" w:rsidRDefault="331D5806" w:rsidP="259E28D5">
      <w:p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The most recent forecast for High Needs </w:t>
      </w:r>
      <w:r w:rsidR="00003894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as at November 2023 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suggests an overspending of </w:t>
      </w:r>
      <w:r w:rsidRPr="009B1EAE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GB"/>
        </w:rPr>
        <w:t>£</w:t>
      </w:r>
      <w:r w:rsidR="00C1440C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GB"/>
        </w:rPr>
        <w:t>16.4</w:t>
      </w:r>
      <w:r w:rsidR="001539CC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GB"/>
        </w:rPr>
        <w:t>68</w:t>
      </w:r>
      <w:r w:rsidR="002F1328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GB"/>
        </w:rPr>
        <w:t>m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which could </w:t>
      </w:r>
      <w:r w:rsidR="00995D21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increase further 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depending on final placements and agreements being reached through</w:t>
      </w:r>
      <w:r w:rsidR="6A396816"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out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the </w:t>
      </w:r>
      <w:r w:rsidR="646F928A"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rest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of the </w:t>
      </w:r>
      <w:bookmarkStart w:id="0" w:name="_Int_g8LOCLhE"/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financial year</w:t>
      </w:r>
      <w:bookmarkEnd w:id="0"/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. This </w:t>
      </w:r>
      <w:r w:rsidR="1255F2F4"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forecast outturn 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will exceed last </w:t>
      </w:r>
      <w:r w:rsidR="5789D70C"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year's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2B9482E5"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overspend </w:t>
      </w:r>
      <w:r w:rsidR="00315284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of </w:t>
      </w:r>
      <w:r w:rsidR="00B5382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£6.1m by </w:t>
      </w:r>
      <w:r w:rsidR="00C1440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over</w:t>
      </w:r>
      <w:r w:rsidR="00B5382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£</w:t>
      </w:r>
      <w:r w:rsidR="00C1440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10</w:t>
      </w:r>
      <w:r w:rsidR="00B5382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m</w:t>
      </w:r>
      <w:r w:rsidR="002F70F0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</w:p>
    <w:p w14:paraId="0D61C96C" w14:textId="04F151AD" w:rsidR="00A05A97" w:rsidRPr="006F3312" w:rsidRDefault="00A05A97" w:rsidP="00A05A97">
      <w:p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The 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latest 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forecasts include </w:t>
      </w:r>
      <w:r w:rsidR="00492341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the following changes adding to the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cost pressures </w:t>
      </w:r>
      <w:r w:rsidR="00492341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on High Needs 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in 2023/24 compared against 2022/23 outturn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:</w:t>
      </w:r>
    </w:p>
    <w:p w14:paraId="7B78D978" w14:textId="10256070" w:rsidR="00A05A97" w:rsidRPr="006F3312" w:rsidRDefault="00A05A97" w:rsidP="00A05A97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Continuing expansion of SEN 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Group 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teaching 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agreements across Early Years, Primary and Secondary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9078F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schools</w:t>
      </w:r>
    </w:p>
    <w:p w14:paraId="663BDB5C" w14:textId="77777777" w:rsidR="00A05A97" w:rsidRPr="006F3312" w:rsidRDefault="00A05A97" w:rsidP="00A05A97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The rollover of agreed 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1:1 funding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agreements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across all year groups and settings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into 2023/24 plus any additional/new transitional agreements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as of August 2023.</w:t>
      </w:r>
    </w:p>
    <w:p w14:paraId="215B418C" w14:textId="65635480" w:rsidR="00A05A97" w:rsidRPr="006F3312" w:rsidRDefault="00A05A97" w:rsidP="00A05A97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The 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full year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costs of renting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3 mobile classrooms and 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a 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lease agreement for St Teresa’s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site as part of the expansion of new in-house places</w:t>
      </w:r>
      <w:r w:rsidR="009078F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</w:p>
    <w:p w14:paraId="44EE6BA1" w14:textId="058F9473" w:rsidR="00A05A97" w:rsidRPr="006F3312" w:rsidRDefault="00A05A97" w:rsidP="00A05A97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The Planned increase in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Resource Unit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places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across Early Years, Primary and Secondary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, as part of the plans for extra in-house provision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(</w:t>
      </w:r>
      <w:r w:rsidR="009078F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At v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arious stages </w:t>
      </w:r>
      <w:r w:rsidR="00FE5A76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in 23/24) with some delays.</w:t>
      </w:r>
    </w:p>
    <w:p w14:paraId="09A3DC2E" w14:textId="6F6B9E8E" w:rsidR="00A05A97" w:rsidRPr="006F3312" w:rsidRDefault="00A05A97" w:rsidP="00A05A97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Hourly rate uplifts for 1:1 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TA 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support for 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all current SEN Support agreements across 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Primary and Secondary funding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wef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1 April 2023,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to bring hourly rates up to current pay levels, as part of the </w:t>
      </w:r>
      <w:r w:rsidR="00FF639B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rightsizing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of funding to settings, reflective of current costs. </w:t>
      </w:r>
    </w:p>
    <w:p w14:paraId="010142F2" w14:textId="77777777" w:rsidR="00FE5A76" w:rsidRDefault="00A05A97" w:rsidP="00AB44EE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FE5A76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Hourly Rate uplift for Early Years SEN funding support including maintained schools and PVI settings.</w:t>
      </w:r>
    </w:p>
    <w:p w14:paraId="070CEBAD" w14:textId="55B87293" w:rsidR="00A05A97" w:rsidRPr="00FE5A76" w:rsidRDefault="00A05A97" w:rsidP="00AB44EE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FE5A76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Price uplifts across </w:t>
      </w:r>
      <w:proofErr w:type="gramStart"/>
      <w:r w:rsidRPr="00FE5A76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 number of</w:t>
      </w:r>
      <w:proofErr w:type="gramEnd"/>
      <w:r w:rsidRPr="00FE5A76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the Independent and Non-maintained Special Schools reflective of price inflation </w:t>
      </w:r>
    </w:p>
    <w:p w14:paraId="15BA0206" w14:textId="067C0514" w:rsidR="00A05A97" w:rsidRDefault="00A05A97" w:rsidP="00A05A97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Special Schools uplift for pay and prices and ongoing supplementary funding targeted to Special and AP schools to meet cost pressures, Plus pupil place growth for Newfield special school. </w:t>
      </w:r>
    </w:p>
    <w:p w14:paraId="1BEC602C" w14:textId="6CB46778" w:rsidR="00A05A97" w:rsidRDefault="00FE5A76" w:rsidP="006606E8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5165E8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Ongoing pressures from increasing numbers of </w:t>
      </w:r>
      <w:r w:rsidR="005165E8" w:rsidRPr="005165E8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pupils being placed in Independent and non-maintained special schools out of Borough. Numbers have not been contained or reduced in 2023/24.</w:t>
      </w:r>
    </w:p>
    <w:p w14:paraId="41869BE6" w14:textId="7925E7CE" w:rsidR="007E7DDB" w:rsidRPr="005165E8" w:rsidRDefault="007E7DDB" w:rsidP="006606E8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Significant expenditure on </w:t>
      </w:r>
      <w:r w:rsidR="00964A10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short term 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external </w:t>
      </w:r>
      <w:r w:rsidR="002C0146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1:1 tutor </w:t>
      </w:r>
      <w:r w:rsidR="00964A10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and therapy </w:t>
      </w:r>
      <w:r w:rsidR="002C0146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support for SEND pupils not attending school</w:t>
      </w:r>
      <w:r w:rsidR="00FF639B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</w:p>
    <w:p w14:paraId="5632301B" w14:textId="77777777" w:rsidR="00A05A97" w:rsidRDefault="00A05A97" w:rsidP="00A05A97">
      <w:p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The above list does not include other High Needs budget areas under continuing pressure including the full year effects of spending decisions/agreements/placements in resourced and independent places established since September 2022, for which there is now a full year cost effect in 2023/24. </w:t>
      </w:r>
    </w:p>
    <w:p w14:paraId="00C9EEB9" w14:textId="77777777" w:rsidR="00047E94" w:rsidRDefault="00047E94" w:rsidP="259E28D5">
      <w:p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p w14:paraId="13A4A79B" w14:textId="77777777" w:rsidR="004B47FE" w:rsidRDefault="004B47FE" w:rsidP="259E28D5">
      <w:p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p w14:paraId="004E3282" w14:textId="177C5F4C" w:rsidR="00047E94" w:rsidRPr="008376D4" w:rsidRDefault="00047E94" w:rsidP="00047E9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8376D4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GB"/>
        </w:rPr>
        <w:t xml:space="preserve">HIGH NEEDS DSG BUDGET STATEMENT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GB"/>
        </w:rPr>
        <w:t xml:space="preserve">SUMMARY AS AT NOVEMBER </w:t>
      </w:r>
      <w:r w:rsidRPr="006F3312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GB"/>
        </w:rPr>
        <w:t>2023</w:t>
      </w:r>
      <w:r w:rsidRPr="008376D4">
        <w:rPr>
          <w:rFonts w:ascii="Arial" w:eastAsia="Times New Roman" w:hAnsi="Arial" w:cs="Arial"/>
          <w:sz w:val="24"/>
          <w:szCs w:val="24"/>
          <w:lang w:val="en-GB" w:eastAsia="en-GB"/>
        </w:rPr>
        <w:t> </w:t>
      </w:r>
    </w:p>
    <w:p w14:paraId="52F464FD" w14:textId="77777777" w:rsidR="00047E94" w:rsidRPr="008376D4" w:rsidRDefault="00047E94" w:rsidP="00047E9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8376D4">
        <w:rPr>
          <w:rFonts w:ascii="Arial" w:eastAsia="Times New Roman" w:hAnsi="Arial" w:cs="Arial"/>
          <w:sz w:val="24"/>
          <w:szCs w:val="24"/>
          <w:lang w:val="en-GB" w:eastAsia="en-GB"/>
        </w:rPr>
        <w:t> </w:t>
      </w:r>
    </w:p>
    <w:tbl>
      <w:tblPr>
        <w:tblW w:w="929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475"/>
        <w:gridCol w:w="1307"/>
        <w:gridCol w:w="1613"/>
        <w:gridCol w:w="1261"/>
        <w:gridCol w:w="1343"/>
        <w:gridCol w:w="1296"/>
      </w:tblGrid>
      <w:tr w:rsidR="00047E94" w14:paraId="393591DC" w14:textId="77777777" w:rsidTr="00164692">
        <w:trPr>
          <w:trHeight w:val="87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2DDC" w14:textId="77777777" w:rsidR="00047E94" w:rsidRPr="008820C9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820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Service Area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FAA8" w14:textId="77777777" w:rsidR="00047E94" w:rsidRPr="008820C9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820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Full Year Budget</w:t>
            </w:r>
          </w:p>
          <w:p w14:paraId="05A6DF8B" w14:textId="77777777" w:rsidR="00047E94" w:rsidRPr="008820C9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820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2023/24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892C" w14:textId="1D2F9F94" w:rsidR="00047E94" w:rsidRPr="008820C9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820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Actual Exp</w:t>
            </w:r>
            <w:r w:rsidR="008820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. </w:t>
            </w:r>
            <w:r w:rsidRPr="008820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to Date (Agresso)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473B" w14:textId="77777777" w:rsidR="00047E94" w:rsidRPr="008820C9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820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Forecast to </w:t>
            </w:r>
          </w:p>
          <w:p w14:paraId="25329227" w14:textId="77777777" w:rsidR="00047E94" w:rsidRPr="008820C9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820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Year End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B56A" w14:textId="77777777" w:rsidR="00047E94" w:rsidRPr="008820C9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820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Forecast</w:t>
            </w:r>
          </w:p>
          <w:p w14:paraId="2EC575C8" w14:textId="77777777" w:rsidR="00047E94" w:rsidRPr="008820C9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820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Out-turn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3E10" w14:textId="77777777" w:rsidR="00047E94" w:rsidRPr="008820C9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820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Variance</w:t>
            </w:r>
          </w:p>
          <w:p w14:paraId="1D0DE5CC" w14:textId="77777777" w:rsidR="00047E94" w:rsidRPr="008820C9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820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to Budget</w:t>
            </w:r>
          </w:p>
        </w:tc>
      </w:tr>
      <w:tr w:rsidR="00047E94" w14:paraId="163AD177" w14:textId="77777777" w:rsidTr="00164692">
        <w:trPr>
          <w:trHeight w:val="897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DFC8" w14:textId="77777777" w:rsidR="000564DD" w:rsidRDefault="000564DD" w:rsidP="0016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</w:p>
          <w:p w14:paraId="57297B17" w14:textId="7BF9E868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Early Years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F6D9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  517,400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C657" w14:textId="7078E8EE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396,932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B378" w14:textId="41C58771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739,492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B0FB" w14:textId="77777777" w:rsidR="000564DD" w:rsidRDefault="000564DD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  <w:p w14:paraId="384C07D1" w14:textId="2276DB31" w:rsidR="00047E94" w:rsidRDefault="000564DD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1,136,425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6E7E" w14:textId="77777777" w:rsidR="000564DD" w:rsidRDefault="000564DD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</w:p>
          <w:p w14:paraId="57D4B544" w14:textId="22696048" w:rsidR="00047E94" w:rsidRDefault="000564DD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619,025</w:t>
            </w:r>
          </w:p>
        </w:tc>
      </w:tr>
      <w:tr w:rsidR="00047E94" w14:paraId="05A0EDF3" w14:textId="77777777" w:rsidTr="00164692">
        <w:trPr>
          <w:trHeight w:val="897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7AF3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Primary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A95F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7,445,050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8D56" w14:textId="78B8D451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949,216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DE54" w14:textId="54FFDA05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12,191,460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1E4D" w14:textId="79A601C2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13,140,676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307D" w14:textId="07F28CE4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5,695,626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</w:tr>
      <w:tr w:rsidR="00047E94" w14:paraId="30B94892" w14:textId="77777777" w:rsidTr="00164692">
        <w:trPr>
          <w:trHeight w:val="897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54225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Secondary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4820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3,079,200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E6CB" w14:textId="564EEBFD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2,880,593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0B431" w14:textId="62082FB9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1,935,771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895A" w14:textId="60D14D25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4,816,365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1B76" w14:textId="2A95F78D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1,737,165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</w:tr>
      <w:tr w:rsidR="00047E94" w14:paraId="2856C7CA" w14:textId="77777777" w:rsidTr="00164692">
        <w:trPr>
          <w:trHeight w:val="897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E68D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Special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7D12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23,626,400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112D" w14:textId="75A4D5BE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10,236,739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CBEF" w14:textId="5EE2A24D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20,667,524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4879" w14:textId="050596D3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30,904,263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09B9" w14:textId="5D7267AF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7,277,863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</w:tr>
      <w:tr w:rsidR="00047E94" w14:paraId="47720614" w14:textId="77777777" w:rsidTr="00164692">
        <w:trPr>
          <w:trHeight w:val="897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5219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Support Services including Referral Units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4806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5,565,500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D7D5" w14:textId="5E9DBE86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1,745,511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F56D" w14:textId="445D3FF6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4,321,572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C369" w14:textId="333C2B8A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6,067,083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  <w:p w14:paraId="01E4116C" w14:textId="77777777" w:rsidR="000564DD" w:rsidRDefault="000564DD" w:rsidP="000564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CFFE7" w14:textId="5D2046D4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501,583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</w:tr>
      <w:tr w:rsidR="00047E94" w14:paraId="0C8A3DF7" w14:textId="77777777" w:rsidTr="00164692">
        <w:trPr>
          <w:trHeight w:val="897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10D8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Post 16 provision (16-18)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17AC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3,628,750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D5DC" w14:textId="71E0250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           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2,044,807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317D" w14:textId="7D900A1E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</w:t>
            </w:r>
            <w:r w:rsidR="00604927">
              <w:rPr>
                <w:rFonts w:ascii="Calibri" w:hAnsi="Calibri" w:cs="Calibri"/>
                <w:color w:val="000000"/>
                <w:lang w:val="en-GB"/>
              </w:rPr>
              <w:t>1,627,212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56B6" w14:textId="78CD86FB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</w:t>
            </w:r>
            <w:r w:rsidR="00604927">
              <w:rPr>
                <w:rFonts w:ascii="Calibri" w:hAnsi="Calibri" w:cs="Calibri"/>
                <w:color w:val="000000"/>
                <w:lang w:val="en-GB"/>
              </w:rPr>
              <w:t>3,672,019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56D6" w14:textId="7CA5BE90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</w:t>
            </w:r>
            <w:r w:rsidR="00604927">
              <w:rPr>
                <w:rFonts w:ascii="Calibri" w:hAnsi="Calibri" w:cs="Calibri"/>
                <w:color w:val="000000"/>
                <w:lang w:val="en-GB"/>
              </w:rPr>
              <w:t>4</w:t>
            </w:r>
            <w:r w:rsidR="00E51A1A">
              <w:rPr>
                <w:rFonts w:ascii="Calibri" w:hAnsi="Calibri" w:cs="Calibri"/>
                <w:color w:val="000000"/>
                <w:lang w:val="en-GB"/>
              </w:rPr>
              <w:t>3</w:t>
            </w:r>
            <w:r w:rsidR="00604927">
              <w:rPr>
                <w:rFonts w:ascii="Calibri" w:hAnsi="Calibri" w:cs="Calibri"/>
                <w:color w:val="000000"/>
                <w:lang w:val="en-GB"/>
              </w:rPr>
              <w:t>,269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</w:tr>
      <w:tr w:rsidR="00047E94" w14:paraId="6759ECD0" w14:textId="77777777" w:rsidTr="00164692">
        <w:trPr>
          <w:trHeight w:val="897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E7B3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Post 16 provision (19-24)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95FE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  750,000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148E" w14:textId="4F90ADCD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         </w:t>
            </w:r>
            <w:r w:rsidR="00604927">
              <w:rPr>
                <w:rFonts w:ascii="Calibri" w:hAnsi="Calibri" w:cs="Calibri"/>
                <w:color w:val="000000"/>
                <w:lang w:val="en-GB"/>
              </w:rPr>
              <w:t xml:space="preserve"> -1</w:t>
            </w:r>
            <w:r w:rsidR="000564DD">
              <w:rPr>
                <w:rFonts w:ascii="Calibri" w:hAnsi="Calibri" w:cs="Calibri"/>
                <w:color w:val="000000"/>
                <w:lang w:val="en-GB"/>
              </w:rPr>
              <w:t>09,834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58E9" w14:textId="24E87168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</w:t>
            </w:r>
            <w:r w:rsidR="00E51A1A">
              <w:rPr>
                <w:rFonts w:ascii="Calibri" w:hAnsi="Calibri" w:cs="Calibri"/>
                <w:color w:val="000000"/>
                <w:lang w:val="en-GB"/>
              </w:rPr>
              <w:t>1,453,838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CDDD" w14:textId="07CEEDE0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</w:t>
            </w:r>
            <w:r w:rsidR="00E51A1A">
              <w:rPr>
                <w:rFonts w:ascii="Calibri" w:hAnsi="Calibri" w:cs="Calibri"/>
                <w:color w:val="000000"/>
                <w:lang w:val="en-GB"/>
              </w:rPr>
              <w:t>1,344,004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6DD7" w14:textId="77777777" w:rsidR="00E51A1A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  </w:t>
            </w:r>
          </w:p>
          <w:p w14:paraId="0BF594CB" w14:textId="49EDF7A5" w:rsidR="00047E94" w:rsidRDefault="00E51A1A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594,004</w:t>
            </w:r>
            <w:r w:rsidR="00047E9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</w:tc>
      </w:tr>
      <w:tr w:rsidR="00047E94" w14:paraId="5D65B59B" w14:textId="77777777" w:rsidTr="00164692">
        <w:trPr>
          <w:trHeight w:val="897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C2D2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Contribution to LEA budgets: Learning &amp; Support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FBA3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  735,250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4DBE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                      -  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4E56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 735,250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0AB1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   735,250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ECC9" w14:textId="77777777" w:rsidR="00047E94" w:rsidRDefault="00047E94" w:rsidP="00164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                              -   </w:t>
            </w:r>
          </w:p>
        </w:tc>
      </w:tr>
      <w:tr w:rsidR="00047E94" w14:paraId="7EB4A8AE" w14:textId="77777777" w:rsidTr="00047E94">
        <w:trPr>
          <w:trHeight w:val="49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1" w:themeFillShade="80"/>
          </w:tcPr>
          <w:p w14:paraId="21F4EC4D" w14:textId="77777777" w:rsidR="00047E94" w:rsidRPr="00047E94" w:rsidRDefault="00047E94" w:rsidP="00047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lang w:val="en-GB"/>
              </w:rPr>
            </w:pPr>
            <w:r w:rsidRPr="00047E94">
              <w:rPr>
                <w:rFonts w:ascii="Calibri" w:hAnsi="Calibri" w:cs="Calibri"/>
                <w:b/>
                <w:bCs/>
                <w:color w:val="FFFFFF" w:themeColor="background1"/>
                <w:lang w:val="en-GB"/>
              </w:rPr>
              <w:t>TOTAL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1" w:themeFillShade="80"/>
          </w:tcPr>
          <w:p w14:paraId="4C1A1C84" w14:textId="1B3D3B08" w:rsidR="00047E94" w:rsidRPr="00047E94" w:rsidRDefault="00047E94" w:rsidP="00047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lang w:val="en-GB"/>
              </w:rPr>
            </w:pPr>
            <w:r w:rsidRPr="00047E94">
              <w:rPr>
                <w:rFonts w:ascii="Calibri" w:hAnsi="Calibri" w:cs="Calibri"/>
                <w:b/>
                <w:bCs/>
                <w:color w:val="FFFFFF" w:themeColor="background1"/>
                <w:lang w:val="en-GB"/>
              </w:rPr>
              <w:t>45,347,550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1" w:themeFillShade="80"/>
          </w:tcPr>
          <w:p w14:paraId="20C4C5ED" w14:textId="157C5C4C" w:rsidR="00047E94" w:rsidRPr="00047E94" w:rsidRDefault="000564DD" w:rsidP="00047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lang w:val="en-GB"/>
              </w:rPr>
              <w:t>18,143,964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1" w:themeFillShade="80"/>
          </w:tcPr>
          <w:p w14:paraId="37E9E3FF" w14:textId="77613750" w:rsidR="00047E94" w:rsidRPr="00047E94" w:rsidRDefault="00E51A1A" w:rsidP="00047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lang w:val="en-GB"/>
              </w:rPr>
              <w:t>43,672,120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1" w:themeFillShade="80"/>
          </w:tcPr>
          <w:p w14:paraId="22DC91BE" w14:textId="4BCDFAFB" w:rsidR="00047E94" w:rsidRPr="00047E94" w:rsidRDefault="00E51A1A" w:rsidP="00047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lang w:val="en-GB"/>
              </w:rPr>
              <w:t>61,816,085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 w:themeFill="accent1" w:themeFillShade="80"/>
          </w:tcPr>
          <w:p w14:paraId="02CFF347" w14:textId="5A69C195" w:rsidR="00047E94" w:rsidRPr="00047E94" w:rsidRDefault="00E51A1A" w:rsidP="00047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lang w:val="en-GB"/>
              </w:rPr>
              <w:t>16,468,535</w:t>
            </w:r>
          </w:p>
        </w:tc>
      </w:tr>
    </w:tbl>
    <w:p w14:paraId="7496ED13" w14:textId="77777777" w:rsidR="00DD09C9" w:rsidRDefault="00DD09C9" w:rsidP="006F3312">
      <w:p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p w14:paraId="5F2250E7" w14:textId="0DD9B8E5" w:rsidR="006F3312" w:rsidRPr="006F3312" w:rsidRDefault="00047E94" w:rsidP="006F3312">
      <w:p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B</w:t>
      </w:r>
      <w:r w:rsidR="006F3312"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ased on this latest </w:t>
      </w:r>
      <w:r w:rsidR="00330A30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in year deficit </w:t>
      </w:r>
      <w:r w:rsidR="006F3312"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forecast, High Needs DSG balances would increase to an accumulative deficit </w:t>
      </w:r>
      <w:r w:rsidR="0088697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position</w:t>
      </w:r>
      <w:r w:rsidR="006F3312"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of </w:t>
      </w:r>
      <w:r w:rsidR="006F3312" w:rsidRPr="00047E94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GB"/>
        </w:rPr>
        <w:t>£</w:t>
      </w:r>
      <w:r w:rsidR="00C1440C" w:rsidRPr="00047E94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GB"/>
        </w:rPr>
        <w:t>35.135</w:t>
      </w:r>
      <w:r w:rsidR="006F3312" w:rsidRPr="006F3312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006F3312"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by the end of 2023/24.</w:t>
      </w:r>
    </w:p>
    <w:p w14:paraId="28BB80A3" w14:textId="5D11E178" w:rsidR="45D18B45" w:rsidRDefault="45D18B45" w:rsidP="259E28D5">
      <w:p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Forecasts for High Needs remain dynamic, as placements are settled, and new EHCP’s reach agreement. Below is a table highlighting the key areas of variance </w:t>
      </w:r>
      <w:r w:rsidR="00A1755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across the main High Needs spending areas </w:t>
      </w:r>
      <w:r w:rsidRPr="006F3312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for 2023/24 as of </w:t>
      </w:r>
      <w:r w:rsidR="003374E9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November </w:t>
      </w:r>
      <w:r w:rsidR="003C755A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2023.</w:t>
      </w:r>
    </w:p>
    <w:p w14:paraId="1E678E82" w14:textId="77777777" w:rsidR="00D2702A" w:rsidRDefault="00D2702A" w:rsidP="259E28D5">
      <w:pPr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3221D47" w14:textId="77777777" w:rsidR="00372338" w:rsidRDefault="00372338" w:rsidP="259E28D5">
      <w:pPr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09DA2A98" w14:textId="77777777" w:rsidR="00372338" w:rsidRPr="006F3312" w:rsidRDefault="00372338" w:rsidP="259E28D5">
      <w:pPr>
        <w:jc w:val="both"/>
        <w:rPr>
          <w:rFonts w:ascii="Arial" w:eastAsia="Arial" w:hAnsi="Arial" w:cs="Arial"/>
          <w:sz w:val="24"/>
          <w:szCs w:val="24"/>
          <w:lang w:val="en-GB"/>
        </w:rPr>
      </w:pPr>
    </w:p>
    <w:tbl>
      <w:tblPr>
        <w:tblStyle w:val="TableGrid"/>
        <w:tblW w:w="93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1"/>
        <w:gridCol w:w="3119"/>
      </w:tblGrid>
      <w:tr w:rsidR="259E28D5" w:rsidRPr="006F3312" w14:paraId="0FA2C6B2" w14:textId="77777777" w:rsidTr="00AE03F7">
        <w:tc>
          <w:tcPr>
            <w:tcW w:w="6241" w:type="dxa"/>
            <w:shd w:val="clear" w:color="auto" w:fill="1F3864" w:themeFill="accent1" w:themeFillShade="80"/>
            <w:tcMar>
              <w:left w:w="105" w:type="dxa"/>
              <w:right w:w="105" w:type="dxa"/>
            </w:tcMar>
          </w:tcPr>
          <w:p w14:paraId="05BF5802" w14:textId="2E5EA1BE" w:rsidR="259E28D5" w:rsidRPr="00AE03F7" w:rsidRDefault="259E28D5" w:rsidP="259E28D5">
            <w:pPr>
              <w:tabs>
                <w:tab w:val="left" w:pos="1170"/>
              </w:tabs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00AE03F7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  <w:lang w:val="en-GB"/>
              </w:rPr>
              <w:t>High Needs Expenditure areas</w:t>
            </w:r>
          </w:p>
        </w:tc>
        <w:tc>
          <w:tcPr>
            <w:tcW w:w="3119" w:type="dxa"/>
            <w:shd w:val="clear" w:color="auto" w:fill="1F3864" w:themeFill="accent1" w:themeFillShade="80"/>
            <w:tcMar>
              <w:left w:w="105" w:type="dxa"/>
              <w:right w:w="105" w:type="dxa"/>
            </w:tcMar>
          </w:tcPr>
          <w:p w14:paraId="2FF4113E" w14:textId="77777777" w:rsidR="00AC4523" w:rsidRPr="00AE03F7" w:rsidRDefault="259E28D5" w:rsidP="259E28D5">
            <w:pPr>
              <w:tabs>
                <w:tab w:val="left" w:pos="1170"/>
              </w:tabs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  <w:lang w:val="en-GB"/>
              </w:rPr>
            </w:pPr>
            <w:r w:rsidRPr="00AE03F7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  <w:lang w:val="en-GB"/>
              </w:rPr>
              <w:t>Forecast 202</w:t>
            </w:r>
            <w:r w:rsidR="0B3FB545" w:rsidRPr="00AE03F7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  <w:lang w:val="en-GB"/>
              </w:rPr>
              <w:t>3/24</w:t>
            </w:r>
          </w:p>
          <w:p w14:paraId="19D7F750" w14:textId="2B744B0C" w:rsidR="259E28D5" w:rsidRPr="00AE03F7" w:rsidRDefault="259E28D5" w:rsidP="259E28D5">
            <w:pPr>
              <w:tabs>
                <w:tab w:val="left" w:pos="1170"/>
              </w:tabs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  <w:lang w:val="en-GB"/>
              </w:rPr>
            </w:pPr>
            <w:r w:rsidRPr="00AE03F7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  <w:lang w:val="en-GB"/>
              </w:rPr>
              <w:t>+ Deficit/ (-) Underspend</w:t>
            </w:r>
            <w:r w:rsidR="13149566" w:rsidRPr="00AE03F7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  <w:lang w:val="en-GB"/>
              </w:rPr>
              <w:t xml:space="preserve"> as </w:t>
            </w:r>
            <w:r w:rsidR="00AC4523" w:rsidRPr="00AE03F7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  <w:lang w:val="en-GB"/>
              </w:rPr>
              <w:t>at</w:t>
            </w:r>
            <w:r w:rsidR="13149566" w:rsidRPr="00AE03F7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  <w:lang w:val="en-GB"/>
              </w:rPr>
              <w:t xml:space="preserve"> </w:t>
            </w:r>
            <w:r w:rsidR="003374E9" w:rsidRPr="00AE03F7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  <w:lang w:val="en-GB"/>
              </w:rPr>
              <w:t>Nov</w:t>
            </w:r>
            <w:r w:rsidR="00AC4523" w:rsidRPr="00AE03F7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  <w:lang w:val="en-GB"/>
              </w:rPr>
              <w:t xml:space="preserve"> </w:t>
            </w:r>
            <w:r w:rsidR="13149566" w:rsidRPr="00AE03F7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  <w:lang w:val="en-GB"/>
              </w:rPr>
              <w:t>2023</w:t>
            </w:r>
          </w:p>
        </w:tc>
      </w:tr>
      <w:tr w:rsidR="259E28D5" w:rsidRPr="006F3312" w14:paraId="44A0F452" w14:textId="77777777" w:rsidTr="00E51A30">
        <w:tc>
          <w:tcPr>
            <w:tcW w:w="6241" w:type="dxa"/>
            <w:tcMar>
              <w:left w:w="105" w:type="dxa"/>
              <w:right w:w="105" w:type="dxa"/>
            </w:tcMar>
          </w:tcPr>
          <w:p w14:paraId="550D1B47" w14:textId="5E2A5731" w:rsidR="1089F099" w:rsidRPr="006F3312" w:rsidRDefault="002F1328" w:rsidP="00AC4523">
            <w:pPr>
              <w:tabs>
                <w:tab w:val="left" w:pos="1170"/>
              </w:tabs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6F331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Early Years Top Ups – </w:t>
            </w:r>
            <w:r w:rsidRPr="006F3312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>Includes group funding agreements and new resource provision from Sep 23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0807DE63" w14:textId="68C438B2" w:rsidR="259E28D5" w:rsidRPr="006F3312" w:rsidRDefault="259E28D5" w:rsidP="00AC4523">
            <w:pPr>
              <w:tabs>
                <w:tab w:val="left" w:pos="1170"/>
              </w:tabs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6F331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0.</w:t>
            </w:r>
            <w:r w:rsidR="00E878D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546</w:t>
            </w:r>
          </w:p>
        </w:tc>
      </w:tr>
      <w:tr w:rsidR="00934586" w:rsidRPr="006F3312" w14:paraId="1B7517B4" w14:textId="77777777" w:rsidTr="00E51A30">
        <w:tc>
          <w:tcPr>
            <w:tcW w:w="6241" w:type="dxa"/>
            <w:tcMar>
              <w:left w:w="105" w:type="dxa"/>
              <w:right w:w="105" w:type="dxa"/>
            </w:tcMar>
          </w:tcPr>
          <w:p w14:paraId="6CAD7DF8" w14:textId="7D40EE6C" w:rsidR="00934586" w:rsidRPr="006F3312" w:rsidRDefault="00934586" w:rsidP="00AC4523">
            <w:pPr>
              <w:tabs>
                <w:tab w:val="left" w:pos="1170"/>
              </w:tabs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Early Year PVI settings Top Up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56C695FE" w14:textId="2DD3B39E" w:rsidR="00934586" w:rsidRPr="006F3312" w:rsidRDefault="00934586" w:rsidP="00AC4523">
            <w:pPr>
              <w:tabs>
                <w:tab w:val="left" w:pos="1170"/>
              </w:tabs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0.083</w:t>
            </w:r>
          </w:p>
        </w:tc>
      </w:tr>
      <w:tr w:rsidR="259E28D5" w:rsidRPr="006F3312" w14:paraId="1CEF1B4D" w14:textId="77777777" w:rsidTr="00E51A30">
        <w:tc>
          <w:tcPr>
            <w:tcW w:w="6241" w:type="dxa"/>
            <w:tcMar>
              <w:left w:w="105" w:type="dxa"/>
              <w:right w:w="105" w:type="dxa"/>
            </w:tcMar>
          </w:tcPr>
          <w:p w14:paraId="4F951442" w14:textId="4D5AEF10" w:rsidR="7E5E91B0" w:rsidRPr="006F3312" w:rsidRDefault="002F1328" w:rsidP="00AC45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6F331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Primary School Top Ups – </w:t>
            </w:r>
            <w:r w:rsidRPr="006F3312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>Includes group funding allocations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41FCCD80" w14:textId="15B0381E" w:rsidR="7E5E91B0" w:rsidRPr="006F3312" w:rsidRDefault="00E878D3" w:rsidP="00AC452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4.154</w:t>
            </w:r>
          </w:p>
        </w:tc>
      </w:tr>
      <w:tr w:rsidR="259E28D5" w:rsidRPr="006F3312" w14:paraId="3CFD7035" w14:textId="77777777" w:rsidTr="00E51A30">
        <w:tc>
          <w:tcPr>
            <w:tcW w:w="6241" w:type="dxa"/>
            <w:tcMar>
              <w:left w:w="105" w:type="dxa"/>
              <w:right w:w="105" w:type="dxa"/>
            </w:tcMar>
          </w:tcPr>
          <w:p w14:paraId="164CAC6A" w14:textId="3D3BC23F" w:rsidR="259E28D5" w:rsidRPr="006F3312" w:rsidRDefault="002F1328" w:rsidP="00AC4523">
            <w:pPr>
              <w:tabs>
                <w:tab w:val="left" w:pos="1170"/>
              </w:tabs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F331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Primary Resourced Unit Place funding &amp; Top Ups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0B2E6443" w14:textId="6C258F9A" w:rsidR="259E28D5" w:rsidRPr="006F3312" w:rsidRDefault="006E3BBC" w:rsidP="00AC4523">
            <w:pPr>
              <w:tabs>
                <w:tab w:val="left" w:pos="1170"/>
              </w:tabs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1.542</w:t>
            </w:r>
          </w:p>
        </w:tc>
      </w:tr>
      <w:tr w:rsidR="259E28D5" w:rsidRPr="006F3312" w14:paraId="35C4549B" w14:textId="77777777" w:rsidTr="00E51A30">
        <w:tc>
          <w:tcPr>
            <w:tcW w:w="6241" w:type="dxa"/>
            <w:tcMar>
              <w:left w:w="105" w:type="dxa"/>
              <w:right w:w="105" w:type="dxa"/>
            </w:tcMar>
          </w:tcPr>
          <w:p w14:paraId="5C51A42F" w14:textId="09EE3EB8" w:rsidR="259E28D5" w:rsidRPr="006F3312" w:rsidRDefault="002F1328" w:rsidP="00AC4523">
            <w:pPr>
              <w:tabs>
                <w:tab w:val="left" w:pos="1170"/>
              </w:tabs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F331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Secondary School Place &amp; Top Ups – </w:t>
            </w:r>
            <w:r w:rsidRPr="006F3312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>Includes resourced unit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funding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04135434" w14:textId="3900FA3B" w:rsidR="259E28D5" w:rsidRPr="006F3312" w:rsidRDefault="006E3BBC" w:rsidP="00AC4523">
            <w:pPr>
              <w:tabs>
                <w:tab w:val="left" w:pos="1170"/>
              </w:tabs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1.753</w:t>
            </w:r>
          </w:p>
        </w:tc>
      </w:tr>
      <w:tr w:rsidR="259E28D5" w:rsidRPr="006F3312" w14:paraId="5DD9ECAA" w14:textId="77777777" w:rsidTr="00E51A30">
        <w:tc>
          <w:tcPr>
            <w:tcW w:w="6241" w:type="dxa"/>
            <w:tcMar>
              <w:left w:w="105" w:type="dxa"/>
              <w:right w:w="105" w:type="dxa"/>
            </w:tcMar>
          </w:tcPr>
          <w:p w14:paraId="6DF7CA11" w14:textId="0A3CC395" w:rsidR="259E28D5" w:rsidRPr="006F3312" w:rsidRDefault="002F1328" w:rsidP="00AC4523">
            <w:pPr>
              <w:tabs>
                <w:tab w:val="left" w:pos="1170"/>
              </w:tabs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F331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Special provision - </w:t>
            </w:r>
            <w:r w:rsidRPr="006F3312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>Non-Maintained Special Day Schools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>/</w:t>
            </w:r>
            <w:r w:rsidRPr="006F3312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Out of Borough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42324E0D" w14:textId="57AE705A" w:rsidR="259E28D5" w:rsidRPr="006F3312" w:rsidRDefault="006E3BBC" w:rsidP="00AC4523">
            <w:pPr>
              <w:tabs>
                <w:tab w:val="left" w:pos="1170"/>
              </w:tabs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4.837</w:t>
            </w:r>
          </w:p>
        </w:tc>
      </w:tr>
      <w:tr w:rsidR="259E28D5" w:rsidRPr="006F3312" w14:paraId="7AA3FB25" w14:textId="77777777" w:rsidTr="00E51A30">
        <w:tc>
          <w:tcPr>
            <w:tcW w:w="6241" w:type="dxa"/>
            <w:tcMar>
              <w:left w:w="105" w:type="dxa"/>
              <w:right w:w="105" w:type="dxa"/>
            </w:tcMar>
          </w:tcPr>
          <w:p w14:paraId="1817014E" w14:textId="65E26B0F" w:rsidR="259E28D5" w:rsidRPr="006F3312" w:rsidRDefault="002F1328" w:rsidP="00AC4523">
            <w:pPr>
              <w:tabs>
                <w:tab w:val="left" w:pos="1170"/>
              </w:tabs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F331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Maintained Special School Places and Top Ups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72A78333" w14:textId="6575C6A4" w:rsidR="259E28D5" w:rsidRPr="006F3312" w:rsidRDefault="002F1328" w:rsidP="00AC4523">
            <w:pPr>
              <w:tabs>
                <w:tab w:val="left" w:pos="1170"/>
              </w:tabs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1.</w:t>
            </w:r>
            <w:r w:rsidR="006E3B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722</w:t>
            </w:r>
          </w:p>
        </w:tc>
      </w:tr>
      <w:tr w:rsidR="00647CF4" w:rsidRPr="006F3312" w14:paraId="5F7FB7EC" w14:textId="77777777" w:rsidTr="00E51A30">
        <w:tc>
          <w:tcPr>
            <w:tcW w:w="6241" w:type="dxa"/>
            <w:tcMar>
              <w:left w:w="105" w:type="dxa"/>
              <w:right w:w="105" w:type="dxa"/>
            </w:tcMar>
          </w:tcPr>
          <w:p w14:paraId="39F75B17" w14:textId="6ECCB412" w:rsidR="00647CF4" w:rsidRPr="00647CF4" w:rsidRDefault="00647CF4" w:rsidP="00AC4523">
            <w:pPr>
              <w:tabs>
                <w:tab w:val="left" w:pos="1170"/>
              </w:tabs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Special provision – 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>non-maintained residential Schools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616E4CA8" w14:textId="78AF692A" w:rsidR="00647CF4" w:rsidRDefault="00647CF4" w:rsidP="00AC4523">
            <w:pPr>
              <w:tabs>
                <w:tab w:val="left" w:pos="1170"/>
              </w:tabs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0.193</w:t>
            </w:r>
          </w:p>
        </w:tc>
      </w:tr>
      <w:tr w:rsidR="00571473" w:rsidRPr="006F3312" w14:paraId="10BB299F" w14:textId="77777777" w:rsidTr="00E51A30">
        <w:tc>
          <w:tcPr>
            <w:tcW w:w="6241" w:type="dxa"/>
            <w:tcMar>
              <w:left w:w="105" w:type="dxa"/>
              <w:right w:w="105" w:type="dxa"/>
            </w:tcMar>
          </w:tcPr>
          <w:p w14:paraId="01592F39" w14:textId="06DD4453" w:rsidR="00571473" w:rsidRDefault="00571473" w:rsidP="00AC4523">
            <w:pPr>
              <w:tabs>
                <w:tab w:val="left" w:pos="1170"/>
              </w:tabs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Post 16 placements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55755142" w14:textId="1D21B65C" w:rsidR="00571473" w:rsidRDefault="00571473" w:rsidP="00AC4523">
            <w:pPr>
              <w:tabs>
                <w:tab w:val="left" w:pos="1170"/>
              </w:tabs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0.848</w:t>
            </w:r>
          </w:p>
        </w:tc>
      </w:tr>
      <w:tr w:rsidR="00F44DB6" w:rsidRPr="006F3312" w14:paraId="5D585716" w14:textId="77777777" w:rsidTr="00E51A30">
        <w:tc>
          <w:tcPr>
            <w:tcW w:w="6241" w:type="dxa"/>
            <w:tcMar>
              <w:left w:w="105" w:type="dxa"/>
              <w:right w:w="105" w:type="dxa"/>
            </w:tcMar>
          </w:tcPr>
          <w:p w14:paraId="58F620CF" w14:textId="286CF483" w:rsidR="00F44DB6" w:rsidRPr="006F3312" w:rsidRDefault="002F1328" w:rsidP="00AC45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F331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Other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r w:rsidRPr="006F331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- Mobile classrooms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5A10309A" w14:textId="014BD71A" w:rsidR="00F44DB6" w:rsidRPr="006F3312" w:rsidRDefault="00AC4523" w:rsidP="00AC452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F331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0.</w:t>
            </w:r>
            <w:r w:rsidR="002F1328" w:rsidRPr="006F331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134</w:t>
            </w:r>
          </w:p>
        </w:tc>
      </w:tr>
      <w:tr w:rsidR="00F44DB6" w:rsidRPr="006F3312" w14:paraId="0E405500" w14:textId="77777777" w:rsidTr="008E4EB9">
        <w:tc>
          <w:tcPr>
            <w:tcW w:w="6241" w:type="dxa"/>
            <w:tcMar>
              <w:left w:w="105" w:type="dxa"/>
              <w:right w:w="105" w:type="dxa"/>
            </w:tcMar>
          </w:tcPr>
          <w:p w14:paraId="05277A67" w14:textId="541F1E9C" w:rsidR="00F44DB6" w:rsidRPr="006F3312" w:rsidRDefault="002F1328" w:rsidP="00AC4523">
            <w:pPr>
              <w:tabs>
                <w:tab w:val="left" w:pos="1170"/>
              </w:tabs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           </w:t>
            </w:r>
            <w:r w:rsidRPr="006F331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- St Teresa’s lease arrangement</w:t>
            </w:r>
          </w:p>
        </w:tc>
        <w:tc>
          <w:tcPr>
            <w:tcW w:w="3119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0611A3D" w14:textId="427990BB" w:rsidR="00F44DB6" w:rsidRPr="006F3312" w:rsidRDefault="00F44DB6" w:rsidP="00AC4523">
            <w:pPr>
              <w:tabs>
                <w:tab w:val="left" w:pos="1170"/>
              </w:tabs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F331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0.</w:t>
            </w:r>
            <w:r w:rsidR="002F1328" w:rsidRPr="006F331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070</w:t>
            </w:r>
          </w:p>
        </w:tc>
      </w:tr>
      <w:tr w:rsidR="00F44DB6" w:rsidRPr="006F3312" w14:paraId="7A48A552" w14:textId="77777777" w:rsidTr="00E51A30">
        <w:tc>
          <w:tcPr>
            <w:tcW w:w="6241" w:type="dxa"/>
            <w:tcMar>
              <w:left w:w="105" w:type="dxa"/>
              <w:right w:w="105" w:type="dxa"/>
            </w:tcMar>
          </w:tcPr>
          <w:p w14:paraId="736E59A9" w14:textId="6CA2DC4C" w:rsidR="00F44DB6" w:rsidRPr="006F3312" w:rsidRDefault="002F1328" w:rsidP="00AC4523">
            <w:pPr>
              <w:tabs>
                <w:tab w:val="left" w:pos="1170"/>
              </w:tabs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Support Services</w:t>
            </w:r>
          </w:p>
        </w:tc>
        <w:tc>
          <w:tcPr>
            <w:tcW w:w="3119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342B18D" w14:textId="041EA70E" w:rsidR="00F44DB6" w:rsidRPr="006F3312" w:rsidRDefault="00F44DB6" w:rsidP="00AC4523">
            <w:pPr>
              <w:tabs>
                <w:tab w:val="left" w:pos="1170"/>
              </w:tabs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F331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0.</w:t>
            </w:r>
            <w:r w:rsidR="006E3BB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318</w:t>
            </w:r>
          </w:p>
        </w:tc>
      </w:tr>
      <w:tr w:rsidR="00705D04" w:rsidRPr="006F3312" w14:paraId="4FF72BE8" w14:textId="77777777" w:rsidTr="00E51A30">
        <w:tc>
          <w:tcPr>
            <w:tcW w:w="6241" w:type="dxa"/>
            <w:tcMar>
              <w:left w:w="105" w:type="dxa"/>
              <w:right w:w="105" w:type="dxa"/>
            </w:tcMar>
          </w:tcPr>
          <w:p w14:paraId="3D478D95" w14:textId="3B3F7367" w:rsidR="00705D04" w:rsidRPr="006F3312" w:rsidRDefault="002F1328" w:rsidP="00AC4523">
            <w:pPr>
              <w:tabs>
                <w:tab w:val="left" w:pos="1170"/>
              </w:tabs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6F331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Other net variations</w:t>
            </w:r>
          </w:p>
        </w:tc>
        <w:tc>
          <w:tcPr>
            <w:tcW w:w="3119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D0F532F" w14:textId="6D788C7B" w:rsidR="00705D04" w:rsidRPr="006F3312" w:rsidRDefault="00571473" w:rsidP="00AC4523">
            <w:pPr>
              <w:tabs>
                <w:tab w:val="left" w:pos="1170"/>
              </w:tabs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0.268</w:t>
            </w:r>
          </w:p>
        </w:tc>
      </w:tr>
      <w:tr w:rsidR="00F44DB6" w:rsidRPr="006F3312" w14:paraId="0E9A2DF6" w14:textId="77777777" w:rsidTr="00E51A30">
        <w:tc>
          <w:tcPr>
            <w:tcW w:w="6241" w:type="dxa"/>
            <w:tcMar>
              <w:left w:w="105" w:type="dxa"/>
              <w:right w:w="105" w:type="dxa"/>
            </w:tcMar>
          </w:tcPr>
          <w:p w14:paraId="6518E5A1" w14:textId="084BBDEA" w:rsidR="00F44DB6" w:rsidRPr="006F3312" w:rsidRDefault="00F44DB6" w:rsidP="00AC4523">
            <w:pPr>
              <w:tabs>
                <w:tab w:val="left" w:pos="1170"/>
              </w:tabs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EDFAC9A" w14:textId="5CC16F81" w:rsidR="00F44DB6" w:rsidRPr="006F3312" w:rsidRDefault="00F44DB6" w:rsidP="00AC4523">
            <w:pPr>
              <w:tabs>
                <w:tab w:val="left" w:pos="1170"/>
              </w:tabs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44DB6" w:rsidRPr="006F3312" w14:paraId="59314D5C" w14:textId="77777777" w:rsidTr="008E4EB9">
        <w:tc>
          <w:tcPr>
            <w:tcW w:w="6241" w:type="dxa"/>
            <w:tcMar>
              <w:left w:w="105" w:type="dxa"/>
              <w:right w:w="105" w:type="dxa"/>
            </w:tcMar>
          </w:tcPr>
          <w:p w14:paraId="1EAFD7B7" w14:textId="51C76BF5" w:rsidR="00F44DB6" w:rsidRPr="006F3312" w:rsidRDefault="002F1328" w:rsidP="00AC4523">
            <w:pPr>
              <w:tabs>
                <w:tab w:val="left" w:pos="1170"/>
              </w:tabs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F33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Total 2023/24 Forecast overspend as of </w:t>
            </w:r>
            <w:r w:rsidR="003374E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Nov</w:t>
            </w:r>
            <w:r w:rsidRPr="006F33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23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9508D3A" w14:textId="77915619" w:rsidR="00F44DB6" w:rsidRPr="006F3312" w:rsidRDefault="002F1328" w:rsidP="00AC4523">
            <w:pPr>
              <w:tabs>
                <w:tab w:val="left" w:pos="1170"/>
              </w:tabs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F33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£</w:t>
            </w:r>
            <w:r w:rsidR="0093458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16.468</w:t>
            </w:r>
            <w:r w:rsidRPr="006F33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m</w:t>
            </w:r>
          </w:p>
        </w:tc>
      </w:tr>
      <w:tr w:rsidR="00F44DB6" w:rsidRPr="006F3312" w14:paraId="7FAC0050" w14:textId="77777777" w:rsidTr="00E51A30">
        <w:tc>
          <w:tcPr>
            <w:tcW w:w="6241" w:type="dxa"/>
            <w:tcMar>
              <w:left w:w="105" w:type="dxa"/>
              <w:right w:w="105" w:type="dxa"/>
            </w:tcMar>
          </w:tcPr>
          <w:p w14:paraId="5A67515E" w14:textId="29BDB480" w:rsidR="00F44DB6" w:rsidRPr="006F3312" w:rsidRDefault="00F44DB6" w:rsidP="00995D21">
            <w:pPr>
              <w:tabs>
                <w:tab w:val="left" w:pos="1170"/>
              </w:tabs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08725C0" w14:textId="6DC24BE5" w:rsidR="00F44DB6" w:rsidRPr="006F3312" w:rsidRDefault="00F44DB6" w:rsidP="00AC4523">
            <w:pPr>
              <w:tabs>
                <w:tab w:val="left" w:pos="1170"/>
              </w:tabs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D29DE6F" w14:textId="77777777" w:rsidR="004F2582" w:rsidRDefault="004F2582" w:rsidP="259E28D5">
      <w:pPr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7EEFFC09" w14:textId="045FA1F0" w:rsidR="00AE03F7" w:rsidRDefault="00D01479" w:rsidP="259E28D5">
      <w:pPr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High Needs Funding agreements</w:t>
      </w:r>
    </w:p>
    <w:p w14:paraId="1EF25CA0" w14:textId="370D8B69" w:rsidR="00AE03F7" w:rsidRDefault="00AE03F7" w:rsidP="259E28D5">
      <w:pPr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C6FB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SEN have </w:t>
      </w:r>
      <w:r w:rsidR="00372338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put a temporary </w:t>
      </w:r>
      <w:r w:rsidRPr="00FC6FB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hold on any new group funding </w:t>
      </w:r>
      <w:r w:rsidR="00FC6FB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agreements </w:t>
      </w:r>
      <w:r w:rsidRPr="00FC6FB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or extensions of current a</w:t>
      </w:r>
      <w:r w:rsidR="00FC6FB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rrangements</w:t>
      </w:r>
      <w:r w:rsidRPr="00FC6FB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while they carry out a quality assurance exercise across the schools. </w:t>
      </w:r>
    </w:p>
    <w:p w14:paraId="5B64890D" w14:textId="6B597A73" w:rsidR="00D01479" w:rsidRPr="00FC6FB7" w:rsidRDefault="00D01479" w:rsidP="259E28D5">
      <w:pPr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The placement of pupils within Independent Day schools and the associated fund</w:t>
      </w:r>
      <w:r w:rsidR="00B83C5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ing for these arrangements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continues to put pressure on the high needs budget. The number of pupils continues to grow month on month with November figures currently reporting 246 pupils within these settings.</w:t>
      </w:r>
    </w:p>
    <w:p w14:paraId="3D5636F0" w14:textId="57A4F3DB" w:rsidR="006F3312" w:rsidRPr="0063383D" w:rsidRDefault="0063383D" w:rsidP="259E28D5">
      <w:pPr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3383D">
        <w:rPr>
          <w:rStyle w:val="normaltextrun"/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New </w:t>
      </w:r>
      <w:r w:rsidR="008E5396">
        <w:rPr>
          <w:rStyle w:val="normaltextrun"/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High Needs </w:t>
      </w:r>
      <w:r w:rsidRPr="0063383D">
        <w:rPr>
          <w:rStyle w:val="normaltextrun"/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Places</w:t>
      </w:r>
      <w:r w:rsidR="004F2582">
        <w:rPr>
          <w:rStyle w:val="normaltextrun"/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/In-House provision</w:t>
      </w:r>
      <w:r w:rsidRPr="0063383D">
        <w:rPr>
          <w:rStyle w:val="normaltextrun"/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– updated position</w:t>
      </w:r>
    </w:p>
    <w:p w14:paraId="7BA7E015" w14:textId="510DFEB1" w:rsidR="00CF2D0D" w:rsidRDefault="007751BA" w:rsidP="259E28D5">
      <w:pPr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The initial starting position for 2023/24 included 2</w:t>
      </w:r>
      <w:r w:rsidR="00C278B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additional maintained special school places </w:t>
      </w:r>
      <w:r w:rsidR="00984EB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at Newfield</w:t>
      </w:r>
      <w:r w:rsidR="007E10C9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984EB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which would be 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available from Sep 23, </w:t>
      </w:r>
      <w:r w:rsidR="00523625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but</w:t>
      </w:r>
      <w:r w:rsidR="0029374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 full expansion to 2</w:t>
      </w:r>
      <w:r w:rsidR="00B95DA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29374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D3EB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extra </w:t>
      </w:r>
      <w:r w:rsidR="00FE237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places 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has since been delayed</w:t>
      </w:r>
      <w:r w:rsidR="007A349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AE03F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Finance previously</w:t>
      </w:r>
      <w:r w:rsidR="00047E9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E03F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forecast </w:t>
      </w:r>
      <w:r w:rsidR="00047E9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these places </w:t>
      </w:r>
      <w:r w:rsidR="00AE03F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to</w:t>
      </w:r>
      <w:r w:rsidR="00047E9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 available in </w:t>
      </w:r>
      <w:r w:rsidR="00AE03F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full by</w:t>
      </w:r>
      <w:r w:rsidR="00047E9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Feb 2024. 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current forecast assumes these </w:t>
      </w:r>
      <w:r w:rsidR="00BC72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places </w:t>
      </w:r>
      <w:r w:rsidR="003374E9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will not be 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available </w:t>
      </w:r>
      <w:r w:rsidR="003374E9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before April 2024.</w:t>
      </w:r>
      <w:r w:rsidR="00703FD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A2AD001" w14:textId="320E7FEC" w:rsidR="00FC6FB7" w:rsidRDefault="00FC6FB7" w:rsidP="259E28D5">
      <w:pPr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The forecast also remove</w:t>
      </w:r>
      <w:r w:rsidR="008A3DC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 additional</w:t>
      </w:r>
      <w:r w:rsidR="008820C9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8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places anticipated at Waterloo Primary from Jan </w:t>
      </w:r>
      <w:proofErr w:type="gramStart"/>
      <w:r w:rsidR="008820C9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2024,</w:t>
      </w:r>
      <w:proofErr w:type="gramEnd"/>
      <w:r w:rsidR="008820C9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these </w:t>
      </w:r>
      <w:r w:rsidR="008A3DC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now remain</w:t>
      </w:r>
      <w:r w:rsidR="008820C9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unavailable till April 2024</w:t>
      </w:r>
      <w:r w:rsidR="008A3DC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6D3F74" w14:textId="78F57574" w:rsidR="008376D4" w:rsidRDefault="00703FD2" w:rsidP="259E28D5">
      <w:pPr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Any changes to the schedule</w:t>
      </w:r>
      <w:r w:rsidR="007A349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building works across the special schools and resource units will </w:t>
      </w:r>
      <w:r w:rsidR="002C046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always 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have an impact on the forecast position, </w:t>
      </w:r>
      <w:r w:rsidR="003E4A6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and 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any additional costs due to the delays will be built into the forecast as and when they arise.</w:t>
      </w:r>
    </w:p>
    <w:p w14:paraId="743B6B69" w14:textId="77777777" w:rsidR="002F3F82" w:rsidRDefault="002F3F82" w:rsidP="00201246">
      <w:pPr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4E3C2D3E" w14:textId="1BB119E7" w:rsidR="00201246" w:rsidRPr="00047E94" w:rsidRDefault="00201246" w:rsidP="00201246">
      <w:pPr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047E94">
        <w:rPr>
          <w:rStyle w:val="normaltextrun"/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Funding allocations from the Schools Block funding given to High Needs in 2023/24</w:t>
      </w:r>
    </w:p>
    <w:p w14:paraId="75A08560" w14:textId="3D2608EC" w:rsidR="00201246" w:rsidRDefault="00201246" w:rsidP="00201246">
      <w:pPr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09F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Following approval by Schools Forum to allocate the 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0.5% </w:t>
      </w:r>
      <w:r w:rsidRPr="006009F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schools block, payments have 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since</w:t>
      </w:r>
      <w:r w:rsidRPr="006009F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been made to all Academ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y schools</w:t>
      </w:r>
      <w:r w:rsidRPr="006009F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 the Summer 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23 </w:t>
      </w:r>
      <w:r w:rsidRPr="006009F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and Autumn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23</w:t>
      </w:r>
      <w:r w:rsidRPr="006009F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term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6009F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11535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Based on the current number of 1:1 within all schools, finance forecast to distribute </w:t>
      </w:r>
      <w:r w:rsidRPr="00047E9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£</w:t>
      </w:r>
      <w:r w:rsidR="00F53A3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844</w:t>
      </w:r>
      <w:r w:rsidRPr="00047E9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,000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across the 3 terms.  </w:t>
      </w:r>
    </w:p>
    <w:p w14:paraId="2A29BC9F" w14:textId="77777777" w:rsidR="00201246" w:rsidRDefault="00201246" w:rsidP="00201246">
      <w:pPr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09F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Further work is required to allocate 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the balance</w:t>
      </w:r>
      <w:r w:rsidRPr="006009F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of this funding in support of those schools who have made an ‘identifiable’ contribution from their own budgets towards their SEN teaching Group working agreements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 </w:t>
      </w:r>
    </w:p>
    <w:p w14:paraId="1E35E646" w14:textId="77777777" w:rsidR="00201246" w:rsidRPr="006009F2" w:rsidRDefault="00201246" w:rsidP="00201246">
      <w:pPr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The current forecast assumes the £981,265 schools block will not be exceeded. Once finance and SEN have carried out the necessary work, a more accurate forecast will be available and any further pressure on the High Needs budget identified.</w:t>
      </w:r>
    </w:p>
    <w:p w14:paraId="12168C0E" w14:textId="77777777" w:rsidR="00681BEC" w:rsidRDefault="00681BEC" w:rsidP="00201246">
      <w:pPr>
        <w:jc w:val="both"/>
        <w:rPr>
          <w:rStyle w:val="normaltextrun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</w:p>
    <w:p w14:paraId="14CFBBFC" w14:textId="6360C29A" w:rsidR="00201246" w:rsidRPr="00BC611B" w:rsidRDefault="003A50B8" w:rsidP="00201246">
      <w:pPr>
        <w:jc w:val="both"/>
        <w:rPr>
          <w:rStyle w:val="normaltextrun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  <w:r w:rsidRPr="00BC611B">
        <w:rPr>
          <w:rStyle w:val="normaltextrun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(SEE Appendix 2 to this report for the </w:t>
      </w:r>
      <w:r w:rsidR="003374E9">
        <w:rPr>
          <w:rStyle w:val="normaltextrun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Spring</w:t>
      </w:r>
      <w:r w:rsidRPr="00BC611B">
        <w:rPr>
          <w:rStyle w:val="normaltextrun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 Term </w:t>
      </w:r>
      <w:r w:rsidR="00BC611B" w:rsidRPr="00BC611B">
        <w:rPr>
          <w:rStyle w:val="normaltextrun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202</w:t>
      </w:r>
      <w:r w:rsidR="003374E9">
        <w:rPr>
          <w:rStyle w:val="normaltextrun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4</w:t>
      </w:r>
      <w:r w:rsidR="00BC611B" w:rsidRPr="00BC611B">
        <w:rPr>
          <w:rStyle w:val="normaltextrun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Pr="00BC611B">
        <w:rPr>
          <w:rStyle w:val="normaltextrun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funding allocations</w:t>
      </w:r>
      <w:r w:rsidR="00BC611B" w:rsidRPr="00BC611B">
        <w:rPr>
          <w:rStyle w:val="normaltextrun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)</w:t>
      </w:r>
    </w:p>
    <w:sectPr w:rsidR="00201246" w:rsidRPr="00BC6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8LOCLhE" int2:invalidationBookmarkName="" int2:hashCode="6X/4wpXdfDElP/" int2:id="7PuO9PwF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6E61"/>
    <w:multiLevelType w:val="hybridMultilevel"/>
    <w:tmpl w:val="2AF0C342"/>
    <w:lvl w:ilvl="0" w:tplc="5380E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44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0E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6E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63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EF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46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AA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28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528FC"/>
    <w:multiLevelType w:val="hybridMultilevel"/>
    <w:tmpl w:val="1FB252BC"/>
    <w:lvl w:ilvl="0" w:tplc="3FC25B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7BD63"/>
    <w:multiLevelType w:val="hybridMultilevel"/>
    <w:tmpl w:val="57966BE8"/>
    <w:lvl w:ilvl="0" w:tplc="26201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E7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A3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0A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8F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981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6E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8C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E0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FECC3"/>
    <w:multiLevelType w:val="hybridMultilevel"/>
    <w:tmpl w:val="6B9CB5D0"/>
    <w:lvl w:ilvl="0" w:tplc="A3265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2F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49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42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AF5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E7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C1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66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86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B3FE5"/>
    <w:multiLevelType w:val="hybridMultilevel"/>
    <w:tmpl w:val="85B6FE12"/>
    <w:lvl w:ilvl="0" w:tplc="AD08B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2E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87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81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48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AD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6A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4C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C4D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240597">
    <w:abstractNumId w:val="0"/>
  </w:num>
  <w:num w:numId="2" w16cid:durableId="271128463">
    <w:abstractNumId w:val="3"/>
  </w:num>
  <w:num w:numId="3" w16cid:durableId="618612352">
    <w:abstractNumId w:val="2"/>
  </w:num>
  <w:num w:numId="4" w16cid:durableId="1956518388">
    <w:abstractNumId w:val="4"/>
  </w:num>
  <w:num w:numId="5" w16cid:durableId="1847162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657880"/>
    <w:rsid w:val="00003894"/>
    <w:rsid w:val="000050A4"/>
    <w:rsid w:val="00010BF2"/>
    <w:rsid w:val="0001105C"/>
    <w:rsid w:val="00020F95"/>
    <w:rsid w:val="00031722"/>
    <w:rsid w:val="00031B01"/>
    <w:rsid w:val="00034819"/>
    <w:rsid w:val="000371AA"/>
    <w:rsid w:val="00042A20"/>
    <w:rsid w:val="00047E94"/>
    <w:rsid w:val="000564DD"/>
    <w:rsid w:val="0007524B"/>
    <w:rsid w:val="00081AE0"/>
    <w:rsid w:val="00084012"/>
    <w:rsid w:val="000908AA"/>
    <w:rsid w:val="000A094B"/>
    <w:rsid w:val="000A357D"/>
    <w:rsid w:val="000B49EB"/>
    <w:rsid w:val="000C30A5"/>
    <w:rsid w:val="000C4045"/>
    <w:rsid w:val="000D0171"/>
    <w:rsid w:val="000D59CB"/>
    <w:rsid w:val="000E12D1"/>
    <w:rsid w:val="000F08D2"/>
    <w:rsid w:val="000F5EE0"/>
    <w:rsid w:val="000F79DE"/>
    <w:rsid w:val="00101573"/>
    <w:rsid w:val="001019EA"/>
    <w:rsid w:val="00101E5A"/>
    <w:rsid w:val="0010717B"/>
    <w:rsid w:val="00115357"/>
    <w:rsid w:val="00122260"/>
    <w:rsid w:val="001539CC"/>
    <w:rsid w:val="001560D6"/>
    <w:rsid w:val="00184329"/>
    <w:rsid w:val="00186B66"/>
    <w:rsid w:val="00186FC8"/>
    <w:rsid w:val="001B2928"/>
    <w:rsid w:val="001D2DDD"/>
    <w:rsid w:val="001E3729"/>
    <w:rsid w:val="001F2487"/>
    <w:rsid w:val="001F3BB0"/>
    <w:rsid w:val="00201246"/>
    <w:rsid w:val="00202702"/>
    <w:rsid w:val="002201BF"/>
    <w:rsid w:val="00242D65"/>
    <w:rsid w:val="00244272"/>
    <w:rsid w:val="00245C87"/>
    <w:rsid w:val="002477E6"/>
    <w:rsid w:val="00252BB9"/>
    <w:rsid w:val="002607FE"/>
    <w:rsid w:val="0026403D"/>
    <w:rsid w:val="002739E8"/>
    <w:rsid w:val="00283E7E"/>
    <w:rsid w:val="00287D02"/>
    <w:rsid w:val="0029374F"/>
    <w:rsid w:val="002B039A"/>
    <w:rsid w:val="002B164C"/>
    <w:rsid w:val="002C0146"/>
    <w:rsid w:val="002C0464"/>
    <w:rsid w:val="002C3D50"/>
    <w:rsid w:val="002E18AF"/>
    <w:rsid w:val="002F1328"/>
    <w:rsid w:val="002F3F82"/>
    <w:rsid w:val="002F4D82"/>
    <w:rsid w:val="002F70F0"/>
    <w:rsid w:val="00301E65"/>
    <w:rsid w:val="00315284"/>
    <w:rsid w:val="00330A30"/>
    <w:rsid w:val="00333B29"/>
    <w:rsid w:val="003374E9"/>
    <w:rsid w:val="003454A3"/>
    <w:rsid w:val="00350B04"/>
    <w:rsid w:val="00362552"/>
    <w:rsid w:val="003631BE"/>
    <w:rsid w:val="00372338"/>
    <w:rsid w:val="00372B46"/>
    <w:rsid w:val="003945B5"/>
    <w:rsid w:val="0039787D"/>
    <w:rsid w:val="003A14AD"/>
    <w:rsid w:val="003A50B8"/>
    <w:rsid w:val="003B3D49"/>
    <w:rsid w:val="003C0673"/>
    <w:rsid w:val="003C625E"/>
    <w:rsid w:val="003C755A"/>
    <w:rsid w:val="003D0AA8"/>
    <w:rsid w:val="003E1D7A"/>
    <w:rsid w:val="003E4A6E"/>
    <w:rsid w:val="003F45B0"/>
    <w:rsid w:val="003F6217"/>
    <w:rsid w:val="00405C58"/>
    <w:rsid w:val="00424291"/>
    <w:rsid w:val="00424525"/>
    <w:rsid w:val="004340ED"/>
    <w:rsid w:val="004553C8"/>
    <w:rsid w:val="00457969"/>
    <w:rsid w:val="004625A9"/>
    <w:rsid w:val="004761A6"/>
    <w:rsid w:val="00492341"/>
    <w:rsid w:val="004A4C4D"/>
    <w:rsid w:val="004B47FE"/>
    <w:rsid w:val="004C28E4"/>
    <w:rsid w:val="004C2A93"/>
    <w:rsid w:val="004C2AF9"/>
    <w:rsid w:val="004D3BA2"/>
    <w:rsid w:val="004D7B7F"/>
    <w:rsid w:val="004F2582"/>
    <w:rsid w:val="00501358"/>
    <w:rsid w:val="00512992"/>
    <w:rsid w:val="005165E8"/>
    <w:rsid w:val="00523625"/>
    <w:rsid w:val="0052602C"/>
    <w:rsid w:val="0054095F"/>
    <w:rsid w:val="00545184"/>
    <w:rsid w:val="00545948"/>
    <w:rsid w:val="0055114C"/>
    <w:rsid w:val="00553622"/>
    <w:rsid w:val="00563423"/>
    <w:rsid w:val="00566A8F"/>
    <w:rsid w:val="00571473"/>
    <w:rsid w:val="005805DB"/>
    <w:rsid w:val="0058368C"/>
    <w:rsid w:val="005854D1"/>
    <w:rsid w:val="005A7B6D"/>
    <w:rsid w:val="005C14A4"/>
    <w:rsid w:val="005C19E8"/>
    <w:rsid w:val="005D5365"/>
    <w:rsid w:val="005D66B0"/>
    <w:rsid w:val="005D6C0F"/>
    <w:rsid w:val="005F626A"/>
    <w:rsid w:val="005F792B"/>
    <w:rsid w:val="006009F2"/>
    <w:rsid w:val="0060229C"/>
    <w:rsid w:val="006036CA"/>
    <w:rsid w:val="00603CB7"/>
    <w:rsid w:val="00604927"/>
    <w:rsid w:val="0060723E"/>
    <w:rsid w:val="0060761F"/>
    <w:rsid w:val="00630051"/>
    <w:rsid w:val="0063383D"/>
    <w:rsid w:val="00643759"/>
    <w:rsid w:val="00645162"/>
    <w:rsid w:val="00647CF4"/>
    <w:rsid w:val="00657927"/>
    <w:rsid w:val="00670BC1"/>
    <w:rsid w:val="00681A38"/>
    <w:rsid w:val="00681BEC"/>
    <w:rsid w:val="006868B3"/>
    <w:rsid w:val="006A227D"/>
    <w:rsid w:val="006B1CCF"/>
    <w:rsid w:val="006C2771"/>
    <w:rsid w:val="006D1A00"/>
    <w:rsid w:val="006E3BBC"/>
    <w:rsid w:val="006E40B1"/>
    <w:rsid w:val="006F0496"/>
    <w:rsid w:val="006F3312"/>
    <w:rsid w:val="006F3785"/>
    <w:rsid w:val="006F5713"/>
    <w:rsid w:val="0070343A"/>
    <w:rsid w:val="00703FD2"/>
    <w:rsid w:val="00705D04"/>
    <w:rsid w:val="007063D9"/>
    <w:rsid w:val="0071186B"/>
    <w:rsid w:val="0072303E"/>
    <w:rsid w:val="0074125E"/>
    <w:rsid w:val="00757139"/>
    <w:rsid w:val="007751BA"/>
    <w:rsid w:val="007A0C4D"/>
    <w:rsid w:val="007A349F"/>
    <w:rsid w:val="007B3169"/>
    <w:rsid w:val="007C03CF"/>
    <w:rsid w:val="007C3EC0"/>
    <w:rsid w:val="007C5186"/>
    <w:rsid w:val="007C5607"/>
    <w:rsid w:val="007D5727"/>
    <w:rsid w:val="007E10C9"/>
    <w:rsid w:val="007E7DDB"/>
    <w:rsid w:val="007F67ED"/>
    <w:rsid w:val="00813FBC"/>
    <w:rsid w:val="008376D4"/>
    <w:rsid w:val="00846CC9"/>
    <w:rsid w:val="008707EA"/>
    <w:rsid w:val="008763B0"/>
    <w:rsid w:val="00881652"/>
    <w:rsid w:val="008820C9"/>
    <w:rsid w:val="00883D96"/>
    <w:rsid w:val="0088697C"/>
    <w:rsid w:val="00895B24"/>
    <w:rsid w:val="008A3330"/>
    <w:rsid w:val="008A3B21"/>
    <w:rsid w:val="008A3DCD"/>
    <w:rsid w:val="008C4C04"/>
    <w:rsid w:val="008C4C36"/>
    <w:rsid w:val="008C5AC5"/>
    <w:rsid w:val="008D3953"/>
    <w:rsid w:val="008D4D6B"/>
    <w:rsid w:val="008D62DC"/>
    <w:rsid w:val="008E5396"/>
    <w:rsid w:val="00902423"/>
    <w:rsid w:val="00902D0D"/>
    <w:rsid w:val="009065A2"/>
    <w:rsid w:val="00906BD0"/>
    <w:rsid w:val="009078F3"/>
    <w:rsid w:val="00931F00"/>
    <w:rsid w:val="00934586"/>
    <w:rsid w:val="00943811"/>
    <w:rsid w:val="00950091"/>
    <w:rsid w:val="00963149"/>
    <w:rsid w:val="009648E7"/>
    <w:rsid w:val="00964A10"/>
    <w:rsid w:val="009753AE"/>
    <w:rsid w:val="00984EB7"/>
    <w:rsid w:val="00991EDB"/>
    <w:rsid w:val="00992667"/>
    <w:rsid w:val="00995D21"/>
    <w:rsid w:val="009A1439"/>
    <w:rsid w:val="009B1EAE"/>
    <w:rsid w:val="009B69DC"/>
    <w:rsid w:val="009D223D"/>
    <w:rsid w:val="009E6824"/>
    <w:rsid w:val="00A040EE"/>
    <w:rsid w:val="00A05394"/>
    <w:rsid w:val="00A05A97"/>
    <w:rsid w:val="00A06EC4"/>
    <w:rsid w:val="00A1755F"/>
    <w:rsid w:val="00A2261E"/>
    <w:rsid w:val="00A22A30"/>
    <w:rsid w:val="00A378FC"/>
    <w:rsid w:val="00A4570F"/>
    <w:rsid w:val="00A47BBF"/>
    <w:rsid w:val="00A6239D"/>
    <w:rsid w:val="00A65B6F"/>
    <w:rsid w:val="00A75CED"/>
    <w:rsid w:val="00A82625"/>
    <w:rsid w:val="00A90D19"/>
    <w:rsid w:val="00A921E5"/>
    <w:rsid w:val="00A92591"/>
    <w:rsid w:val="00A96536"/>
    <w:rsid w:val="00AA1E59"/>
    <w:rsid w:val="00AC4523"/>
    <w:rsid w:val="00AD346A"/>
    <w:rsid w:val="00AD4801"/>
    <w:rsid w:val="00AE03F7"/>
    <w:rsid w:val="00AE7FA4"/>
    <w:rsid w:val="00B04444"/>
    <w:rsid w:val="00B21D50"/>
    <w:rsid w:val="00B22884"/>
    <w:rsid w:val="00B32345"/>
    <w:rsid w:val="00B33890"/>
    <w:rsid w:val="00B5382F"/>
    <w:rsid w:val="00B741F4"/>
    <w:rsid w:val="00B83C52"/>
    <w:rsid w:val="00B92D34"/>
    <w:rsid w:val="00B955DC"/>
    <w:rsid w:val="00B95DA1"/>
    <w:rsid w:val="00BB5642"/>
    <w:rsid w:val="00BB7BF1"/>
    <w:rsid w:val="00BC0FE6"/>
    <w:rsid w:val="00BC611B"/>
    <w:rsid w:val="00BC670F"/>
    <w:rsid w:val="00BC72D7"/>
    <w:rsid w:val="00BC7657"/>
    <w:rsid w:val="00BE24E6"/>
    <w:rsid w:val="00BF2274"/>
    <w:rsid w:val="00BF6D92"/>
    <w:rsid w:val="00C1440C"/>
    <w:rsid w:val="00C15788"/>
    <w:rsid w:val="00C17ECD"/>
    <w:rsid w:val="00C20135"/>
    <w:rsid w:val="00C272DB"/>
    <w:rsid w:val="00C2745E"/>
    <w:rsid w:val="00C278BA"/>
    <w:rsid w:val="00C35790"/>
    <w:rsid w:val="00C37070"/>
    <w:rsid w:val="00C40FE5"/>
    <w:rsid w:val="00C568E7"/>
    <w:rsid w:val="00C81170"/>
    <w:rsid w:val="00CA17E9"/>
    <w:rsid w:val="00CA6EB6"/>
    <w:rsid w:val="00CB640C"/>
    <w:rsid w:val="00CC72E5"/>
    <w:rsid w:val="00CD3EB3"/>
    <w:rsid w:val="00CE1CC2"/>
    <w:rsid w:val="00CE42FE"/>
    <w:rsid w:val="00CF2D0D"/>
    <w:rsid w:val="00CF3DCD"/>
    <w:rsid w:val="00D01479"/>
    <w:rsid w:val="00D0573B"/>
    <w:rsid w:val="00D2702A"/>
    <w:rsid w:val="00D34B1F"/>
    <w:rsid w:val="00D53A82"/>
    <w:rsid w:val="00D7360F"/>
    <w:rsid w:val="00D76CEC"/>
    <w:rsid w:val="00D801AD"/>
    <w:rsid w:val="00D81170"/>
    <w:rsid w:val="00D949D6"/>
    <w:rsid w:val="00DA74C6"/>
    <w:rsid w:val="00DC57B5"/>
    <w:rsid w:val="00DD09C9"/>
    <w:rsid w:val="00DF3290"/>
    <w:rsid w:val="00E203A5"/>
    <w:rsid w:val="00E2544A"/>
    <w:rsid w:val="00E40852"/>
    <w:rsid w:val="00E51A1A"/>
    <w:rsid w:val="00E51A30"/>
    <w:rsid w:val="00E606EB"/>
    <w:rsid w:val="00E805B9"/>
    <w:rsid w:val="00E837EC"/>
    <w:rsid w:val="00E878D3"/>
    <w:rsid w:val="00E96A6C"/>
    <w:rsid w:val="00EA40E8"/>
    <w:rsid w:val="00EA6E8D"/>
    <w:rsid w:val="00EC550C"/>
    <w:rsid w:val="00EC7DF7"/>
    <w:rsid w:val="00ED2E4A"/>
    <w:rsid w:val="00ED6D84"/>
    <w:rsid w:val="00EF37E2"/>
    <w:rsid w:val="00EF7155"/>
    <w:rsid w:val="00F00236"/>
    <w:rsid w:val="00F13B6D"/>
    <w:rsid w:val="00F1657E"/>
    <w:rsid w:val="00F218B7"/>
    <w:rsid w:val="00F4233B"/>
    <w:rsid w:val="00F44DB6"/>
    <w:rsid w:val="00F53A31"/>
    <w:rsid w:val="00F541E9"/>
    <w:rsid w:val="00F5569E"/>
    <w:rsid w:val="00F55ECD"/>
    <w:rsid w:val="00F656DC"/>
    <w:rsid w:val="00F66FEF"/>
    <w:rsid w:val="00F84CCA"/>
    <w:rsid w:val="00F92B1C"/>
    <w:rsid w:val="00FA3F0F"/>
    <w:rsid w:val="00FC09DA"/>
    <w:rsid w:val="00FC23DA"/>
    <w:rsid w:val="00FC6FB7"/>
    <w:rsid w:val="00FE0F50"/>
    <w:rsid w:val="00FE16B8"/>
    <w:rsid w:val="00FE2371"/>
    <w:rsid w:val="00FE5A76"/>
    <w:rsid w:val="00FE7490"/>
    <w:rsid w:val="00FF06EA"/>
    <w:rsid w:val="00FF639B"/>
    <w:rsid w:val="01FC072B"/>
    <w:rsid w:val="06CF784E"/>
    <w:rsid w:val="0912D4A7"/>
    <w:rsid w:val="0A071910"/>
    <w:rsid w:val="0B3FB545"/>
    <w:rsid w:val="0D3EB9D2"/>
    <w:rsid w:val="0F10D601"/>
    <w:rsid w:val="1089F099"/>
    <w:rsid w:val="11A64BA9"/>
    <w:rsid w:val="1255F2F4"/>
    <w:rsid w:val="13149566"/>
    <w:rsid w:val="15EF5317"/>
    <w:rsid w:val="188959FF"/>
    <w:rsid w:val="1A252A60"/>
    <w:rsid w:val="211B74F4"/>
    <w:rsid w:val="229C1233"/>
    <w:rsid w:val="259E28D5"/>
    <w:rsid w:val="2B9482E5"/>
    <w:rsid w:val="31657880"/>
    <w:rsid w:val="331D5806"/>
    <w:rsid w:val="34B92867"/>
    <w:rsid w:val="350A0EAD"/>
    <w:rsid w:val="3654F8C8"/>
    <w:rsid w:val="36589B67"/>
    <w:rsid w:val="3929381E"/>
    <w:rsid w:val="398C998A"/>
    <w:rsid w:val="43163451"/>
    <w:rsid w:val="45D18B45"/>
    <w:rsid w:val="4CCCC5DE"/>
    <w:rsid w:val="4CE24B9C"/>
    <w:rsid w:val="4D2786B0"/>
    <w:rsid w:val="504B30DA"/>
    <w:rsid w:val="52C2583C"/>
    <w:rsid w:val="5789D70C"/>
    <w:rsid w:val="642CC5C2"/>
    <w:rsid w:val="646F928A"/>
    <w:rsid w:val="6A396816"/>
    <w:rsid w:val="6CEF9DB3"/>
    <w:rsid w:val="6DF195C2"/>
    <w:rsid w:val="6EBF7D75"/>
    <w:rsid w:val="731455DC"/>
    <w:rsid w:val="740A3A02"/>
    <w:rsid w:val="746BEC91"/>
    <w:rsid w:val="7479355A"/>
    <w:rsid w:val="7B8CC5A6"/>
    <w:rsid w:val="7E5E9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7880"/>
  <w15:chartTrackingRefBased/>
  <w15:docId w15:val="{79E6ED1D-5E75-4208-B046-96E38503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8376D4"/>
  </w:style>
  <w:style w:type="paragraph" w:customStyle="1" w:styleId="paragraph">
    <w:name w:val="paragraph"/>
    <w:basedOn w:val="Normal"/>
    <w:rsid w:val="0083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8376D4"/>
  </w:style>
  <w:style w:type="character" w:customStyle="1" w:styleId="scxw75273553">
    <w:name w:val="scxw75273553"/>
    <w:basedOn w:val="DefaultParagraphFont"/>
    <w:rsid w:val="00837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33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3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9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3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8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5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6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c37555-e587-4a53-8e07-f9f279ac22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2A6CD98941A478C955A1B59DF371A" ma:contentTypeVersion="13" ma:contentTypeDescription="Create a new document." ma:contentTypeScope="" ma:versionID="2ef8a028a0dc42330f5efb9437dc3d2c">
  <xsd:schema xmlns:xsd="http://www.w3.org/2001/XMLSchema" xmlns:xs="http://www.w3.org/2001/XMLSchema" xmlns:p="http://schemas.microsoft.com/office/2006/metadata/properties" xmlns:ns2="75c37555-e587-4a53-8e07-f9f279ac2220" xmlns:ns3="57c981d3-d567-4661-bd5a-748cc0a44e06" targetNamespace="http://schemas.microsoft.com/office/2006/metadata/properties" ma:root="true" ma:fieldsID="8b98bf1cf74c6225f6022eff8c404d1d" ns2:_="" ns3:_="">
    <xsd:import namespace="75c37555-e587-4a53-8e07-f9f279ac2220"/>
    <xsd:import namespace="57c981d3-d567-4661-bd5a-748cc0a44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37555-e587-4a53-8e07-f9f279ac2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981d3-d567-4661-bd5a-748cc0a44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E1981-F4C7-4C3F-AB4F-169D26094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C18ED-DED8-49F9-B1EC-E4E204C0B160}">
  <ds:schemaRefs>
    <ds:schemaRef ds:uri="http://purl.org/dc/terms/"/>
    <ds:schemaRef ds:uri="57c981d3-d567-4661-bd5a-748cc0a44e0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5c37555-e587-4a53-8e07-f9f279ac2220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C6B5AC-7173-4586-984C-58725F81C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37555-e587-4a53-8e07-f9f279ac2220"/>
    <ds:schemaRef ds:uri="57c981d3-d567-4661-bd5a-748cc0a4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1101</Words>
  <Characters>6278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McCabe</dc:creator>
  <cp:keywords/>
  <dc:description/>
  <cp:lastModifiedBy>Ella Fleetwood</cp:lastModifiedBy>
  <cp:revision>2</cp:revision>
  <dcterms:created xsi:type="dcterms:W3CDTF">2024-01-23T09:42:00Z</dcterms:created>
  <dcterms:modified xsi:type="dcterms:W3CDTF">2024-01-23T09:42:00Z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0x0101002412A6CD98941A478C955A1B59DF371A</vt:lpwstr>
  </property>
  <property fmtid="{D5CDD505-2E9C-101B-9397-08002B2CF9AE}" pid="3" name="MediaServiceImageTags">
    <vt:lpwstr/>
  </property>
</Properties>
</file>