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460"/>
      </w:tblGrid>
      <w:tr w:rsidR="00B079CB" w14:paraId="73CA1651" w14:textId="77777777" w:rsidTr="00561ECF">
        <w:tc>
          <w:tcPr>
            <w:tcW w:w="9676" w:type="dxa"/>
            <w:tcBorders>
              <w:top w:val="nil"/>
              <w:left w:val="nil"/>
              <w:bottom w:val="nil"/>
              <w:right w:val="nil"/>
            </w:tcBorders>
          </w:tcPr>
          <w:tbl>
            <w:tblPr>
              <w:tblStyle w:val="TableGrid"/>
              <w:tblW w:w="0" w:type="auto"/>
              <w:tblLook w:val="04A0" w:firstRow="1" w:lastRow="0" w:firstColumn="1" w:lastColumn="0" w:noHBand="0" w:noVBand="1"/>
            </w:tblPr>
            <w:tblGrid>
              <w:gridCol w:w="2332"/>
              <w:gridCol w:w="2294"/>
              <w:gridCol w:w="2297"/>
              <w:gridCol w:w="2311"/>
            </w:tblGrid>
            <w:tr w:rsidR="00B079CB" w14:paraId="5A7D7176" w14:textId="77777777" w:rsidTr="002200CF">
              <w:tc>
                <w:tcPr>
                  <w:tcW w:w="2419" w:type="dxa"/>
                </w:tcPr>
                <w:p w14:paraId="3E1F93E5" w14:textId="77777777" w:rsidR="00D033A1" w:rsidRPr="00D033A1" w:rsidRDefault="00E739C5" w:rsidP="00D033A1">
                  <w:pPr>
                    <w:rPr>
                      <w:rFonts w:cs="Arial"/>
                      <w:b/>
                      <w:bCs/>
                    </w:rPr>
                  </w:pPr>
                  <w:r>
                    <w:rPr>
                      <w:rFonts w:cs="Arial"/>
                      <w:b/>
                      <w:bCs/>
                    </w:rPr>
                    <w:t xml:space="preserve"> </w:t>
                  </w:r>
                  <w:r w:rsidR="007314C9" w:rsidRPr="00D033A1">
                    <w:rPr>
                      <w:rFonts w:cs="Arial"/>
                      <w:b/>
                      <w:bCs/>
                    </w:rPr>
                    <w:t>Report to:</w:t>
                  </w:r>
                </w:p>
              </w:tc>
              <w:tc>
                <w:tcPr>
                  <w:tcW w:w="2419" w:type="dxa"/>
                  <w:shd w:val="clear" w:color="auto" w:fill="auto"/>
                </w:tcPr>
                <w:p w14:paraId="5C798750" w14:textId="77777777" w:rsidR="00C174B1" w:rsidRPr="00C174B1" w:rsidRDefault="00C174B1" w:rsidP="00C174B1">
                  <w:pPr>
                    <w:rPr>
                      <w:rFonts w:cs="Arial"/>
                      <w:b/>
                      <w:bCs/>
                    </w:rPr>
                  </w:pPr>
                  <w:r w:rsidRPr="00C174B1">
                    <w:rPr>
                      <w:rFonts w:cs="Arial"/>
                      <w:b/>
                      <w:bCs/>
                    </w:rPr>
                    <w:t>Cabinet Member: Planning and Building Control</w:t>
                  </w:r>
                </w:p>
                <w:p w14:paraId="3D490112" w14:textId="77777777" w:rsidR="00D033A1" w:rsidRPr="00D033A1" w:rsidRDefault="002F05ED" w:rsidP="00766392">
                  <w:pPr>
                    <w:rPr>
                      <w:rFonts w:cs="Arial"/>
                      <w:b/>
                      <w:bCs/>
                    </w:rPr>
                  </w:pPr>
                </w:p>
              </w:tc>
              <w:tc>
                <w:tcPr>
                  <w:tcW w:w="2419" w:type="dxa"/>
                </w:tcPr>
                <w:p w14:paraId="34BAF6CB" w14:textId="77777777" w:rsidR="00D033A1" w:rsidRPr="00D033A1" w:rsidRDefault="007314C9" w:rsidP="00D033A1">
                  <w:pPr>
                    <w:rPr>
                      <w:rFonts w:cs="Arial"/>
                      <w:b/>
                      <w:bCs/>
                    </w:rPr>
                  </w:pPr>
                  <w:r w:rsidRPr="00D033A1">
                    <w:rPr>
                      <w:rFonts w:cs="Arial"/>
                      <w:b/>
                      <w:bCs/>
                    </w:rPr>
                    <w:t>Date of Meeting:</w:t>
                  </w:r>
                </w:p>
              </w:tc>
              <w:tc>
                <w:tcPr>
                  <w:tcW w:w="2419" w:type="dxa"/>
                  <w:shd w:val="clear" w:color="auto" w:fill="auto"/>
                </w:tcPr>
                <w:p w14:paraId="039A88C4" w14:textId="1BF1B5E5" w:rsidR="00D033A1" w:rsidRPr="00C174B1" w:rsidRDefault="00FB2FA9" w:rsidP="00766392">
                  <w:pPr>
                    <w:rPr>
                      <w:rFonts w:cs="Arial"/>
                      <w:b/>
                      <w:bCs/>
                    </w:rPr>
                  </w:pPr>
                  <w:r>
                    <w:rPr>
                      <w:rFonts w:cs="Arial"/>
                      <w:b/>
                      <w:bCs/>
                    </w:rPr>
                    <w:t>20 November</w:t>
                  </w:r>
                  <w:r w:rsidR="00C174B1" w:rsidRPr="00C174B1">
                    <w:rPr>
                      <w:rFonts w:cs="Arial"/>
                      <w:b/>
                      <w:bCs/>
                    </w:rPr>
                    <w:t xml:space="preserve"> 2019</w:t>
                  </w:r>
                </w:p>
              </w:tc>
            </w:tr>
            <w:tr w:rsidR="00B079CB" w14:paraId="4A99FE71" w14:textId="77777777" w:rsidTr="002200CF">
              <w:tc>
                <w:tcPr>
                  <w:tcW w:w="2419" w:type="dxa"/>
                </w:tcPr>
                <w:p w14:paraId="1976A6CB" w14:textId="77777777" w:rsidR="00D033A1" w:rsidRPr="00D033A1" w:rsidRDefault="007314C9" w:rsidP="00D033A1">
                  <w:pPr>
                    <w:rPr>
                      <w:rFonts w:cs="Arial"/>
                      <w:b/>
                      <w:bCs/>
                    </w:rPr>
                  </w:pPr>
                  <w:r w:rsidRPr="00D033A1">
                    <w:rPr>
                      <w:rFonts w:cs="Arial"/>
                      <w:b/>
                      <w:bCs/>
                    </w:rPr>
                    <w:t>Subject:</w:t>
                  </w:r>
                </w:p>
              </w:tc>
              <w:tc>
                <w:tcPr>
                  <w:tcW w:w="7257" w:type="dxa"/>
                  <w:gridSpan w:val="3"/>
                  <w:shd w:val="clear" w:color="auto" w:fill="auto"/>
                </w:tcPr>
                <w:p w14:paraId="77E974F0" w14:textId="0CF9E2DC" w:rsidR="00D033A1" w:rsidRDefault="008B44BD" w:rsidP="00660C7A">
                  <w:pPr>
                    <w:rPr>
                      <w:rFonts w:cs="Arial"/>
                      <w:b/>
                      <w:bCs/>
                    </w:rPr>
                  </w:pPr>
                  <w:r>
                    <w:rPr>
                      <w:rFonts w:cs="Arial"/>
                      <w:b/>
                      <w:bCs/>
                    </w:rPr>
                    <w:t>Strategic Housing Market Assessment Update</w:t>
                  </w:r>
                  <w:r w:rsidR="000D046F">
                    <w:rPr>
                      <w:rFonts w:cs="Arial"/>
                      <w:b/>
                      <w:bCs/>
                    </w:rPr>
                    <w:t xml:space="preserve"> </w:t>
                  </w:r>
                  <w:r>
                    <w:rPr>
                      <w:rFonts w:cs="Arial"/>
                      <w:b/>
                      <w:bCs/>
                    </w:rPr>
                    <w:t>2019</w:t>
                  </w:r>
                </w:p>
                <w:p w14:paraId="5238080F" w14:textId="77777777" w:rsidR="008B44BD" w:rsidRPr="002200CF" w:rsidRDefault="008B44BD" w:rsidP="00660C7A">
                  <w:pPr>
                    <w:rPr>
                      <w:rFonts w:cs="Arial"/>
                      <w:b/>
                      <w:bCs/>
                    </w:rPr>
                  </w:pPr>
                </w:p>
              </w:tc>
            </w:tr>
            <w:tr w:rsidR="00B079CB" w14:paraId="7446C29A" w14:textId="77777777" w:rsidTr="002200CF">
              <w:tc>
                <w:tcPr>
                  <w:tcW w:w="2419" w:type="dxa"/>
                </w:tcPr>
                <w:p w14:paraId="10C30A79" w14:textId="77777777" w:rsidR="00D033A1" w:rsidRPr="00D033A1" w:rsidRDefault="007314C9" w:rsidP="00D033A1">
                  <w:pPr>
                    <w:rPr>
                      <w:rFonts w:cs="Arial"/>
                      <w:b/>
                      <w:bCs/>
                    </w:rPr>
                  </w:pPr>
                  <w:r>
                    <w:rPr>
                      <w:rFonts w:cs="Arial"/>
                      <w:b/>
                      <w:bCs/>
                    </w:rPr>
                    <w:t>Report of</w:t>
                  </w:r>
                  <w:r w:rsidRPr="00D033A1">
                    <w:rPr>
                      <w:rFonts w:cs="Arial"/>
                      <w:b/>
                      <w:bCs/>
                    </w:rPr>
                    <w:t>:</w:t>
                  </w:r>
                </w:p>
              </w:tc>
              <w:tc>
                <w:tcPr>
                  <w:tcW w:w="2419" w:type="dxa"/>
                  <w:shd w:val="clear" w:color="auto" w:fill="auto"/>
                </w:tcPr>
                <w:p w14:paraId="25757A22" w14:textId="77777777" w:rsidR="00D033A1" w:rsidRDefault="001B3C82" w:rsidP="008410C9">
                  <w:pPr>
                    <w:rPr>
                      <w:rFonts w:cs="Arial"/>
                      <w:b/>
                      <w:bCs/>
                    </w:rPr>
                  </w:pPr>
                  <w:r w:rsidRPr="001B3C82">
                    <w:rPr>
                      <w:rFonts w:cs="Arial"/>
                      <w:b/>
                      <w:bCs/>
                    </w:rPr>
                    <w:t xml:space="preserve">Chief </w:t>
                  </w:r>
                  <w:r>
                    <w:rPr>
                      <w:rFonts w:cs="Arial"/>
                      <w:b/>
                      <w:bCs/>
                    </w:rPr>
                    <w:t xml:space="preserve">Planning </w:t>
                  </w:r>
                  <w:r w:rsidRPr="001B3C82">
                    <w:rPr>
                      <w:rFonts w:cs="Arial"/>
                      <w:b/>
                      <w:bCs/>
                    </w:rPr>
                    <w:t>Officer</w:t>
                  </w:r>
                </w:p>
                <w:p w14:paraId="26DB2A58" w14:textId="77777777" w:rsidR="008B44BD" w:rsidRPr="001B3C82" w:rsidRDefault="008B44BD" w:rsidP="008410C9">
                  <w:pPr>
                    <w:rPr>
                      <w:rFonts w:cs="Arial"/>
                      <w:b/>
                      <w:bCs/>
                    </w:rPr>
                  </w:pPr>
                </w:p>
              </w:tc>
              <w:tc>
                <w:tcPr>
                  <w:tcW w:w="2419" w:type="dxa"/>
                </w:tcPr>
                <w:p w14:paraId="40F42A17" w14:textId="77777777" w:rsidR="00D033A1" w:rsidRPr="00D033A1" w:rsidRDefault="007314C9" w:rsidP="00D033A1">
                  <w:pPr>
                    <w:rPr>
                      <w:rFonts w:cs="Arial"/>
                      <w:b/>
                      <w:bCs/>
                    </w:rPr>
                  </w:pPr>
                  <w:r w:rsidRPr="00D033A1">
                    <w:rPr>
                      <w:rFonts w:cs="Arial"/>
                      <w:b/>
                      <w:bCs/>
                    </w:rPr>
                    <w:t>Wards Affected</w:t>
                  </w:r>
                  <w:r>
                    <w:rPr>
                      <w:rFonts w:cs="Arial"/>
                      <w:b/>
                      <w:bCs/>
                    </w:rPr>
                    <w:t>:</w:t>
                  </w:r>
                </w:p>
              </w:tc>
              <w:tc>
                <w:tcPr>
                  <w:tcW w:w="2419" w:type="dxa"/>
                  <w:shd w:val="clear" w:color="auto" w:fill="auto"/>
                </w:tcPr>
                <w:p w14:paraId="71FF9011" w14:textId="77777777" w:rsidR="00D033A1" w:rsidRPr="002200CF" w:rsidRDefault="007314C9" w:rsidP="00D033A1">
                  <w:pPr>
                    <w:rPr>
                      <w:rFonts w:cs="Arial"/>
                      <w:bCs/>
                    </w:rPr>
                  </w:pPr>
                  <w:r>
                    <w:rPr>
                      <w:rFonts w:cs="Arial"/>
                      <w:bCs/>
                    </w:rPr>
                    <w:fldChar w:fldCharType="begin"/>
                  </w:r>
                  <w:r>
                    <w:rPr>
                      <w:rFonts w:cs="Arial"/>
                      <w:bCs/>
                    </w:rPr>
                    <w:instrText xml:space="preserve"> DOCPROPERTY  Wards  \* MERGEFORMAT </w:instrText>
                  </w:r>
                  <w:r>
                    <w:rPr>
                      <w:rFonts w:cs="Arial"/>
                      <w:bCs/>
                    </w:rPr>
                    <w:fldChar w:fldCharType="separate"/>
                  </w:r>
                  <w:r>
                    <w:rPr>
                      <w:rFonts w:cs="Arial"/>
                      <w:bCs/>
                    </w:rPr>
                    <w:t>(All Wards);</w:t>
                  </w:r>
                  <w:r>
                    <w:rPr>
                      <w:rFonts w:cs="Arial"/>
                      <w:bCs/>
                    </w:rPr>
                    <w:fldChar w:fldCharType="end"/>
                  </w:r>
                </w:p>
              </w:tc>
            </w:tr>
            <w:tr w:rsidR="00B079CB" w14:paraId="6EEA940C" w14:textId="77777777" w:rsidTr="002200CF">
              <w:tc>
                <w:tcPr>
                  <w:tcW w:w="2419" w:type="dxa"/>
                </w:tcPr>
                <w:p w14:paraId="59A47379" w14:textId="77777777" w:rsidR="00D033A1" w:rsidRPr="00D033A1" w:rsidRDefault="007314C9" w:rsidP="00D033A1">
                  <w:pPr>
                    <w:rPr>
                      <w:rFonts w:cs="Arial"/>
                      <w:b/>
                      <w:bCs/>
                    </w:rPr>
                  </w:pPr>
                  <w:r w:rsidRPr="00D033A1">
                    <w:rPr>
                      <w:rFonts w:cs="Arial"/>
                      <w:b/>
                      <w:bCs/>
                    </w:rPr>
                    <w:t>Portfolio:</w:t>
                  </w:r>
                </w:p>
              </w:tc>
              <w:tc>
                <w:tcPr>
                  <w:tcW w:w="7257" w:type="dxa"/>
                  <w:gridSpan w:val="3"/>
                  <w:shd w:val="clear" w:color="auto" w:fill="auto"/>
                </w:tcPr>
                <w:p w14:paraId="14EEC798" w14:textId="77777777" w:rsidR="00D033A1" w:rsidRDefault="001B3C82" w:rsidP="00766392">
                  <w:pPr>
                    <w:rPr>
                      <w:rFonts w:cs="Arial"/>
                      <w:b/>
                      <w:bCs/>
                    </w:rPr>
                  </w:pPr>
                  <w:r>
                    <w:rPr>
                      <w:rFonts w:cs="Arial"/>
                      <w:b/>
                      <w:bCs/>
                    </w:rPr>
                    <w:t>Planning and Building Control</w:t>
                  </w:r>
                </w:p>
                <w:p w14:paraId="276BD582" w14:textId="77777777" w:rsidR="008B44BD" w:rsidRPr="00D033A1" w:rsidRDefault="008B44BD" w:rsidP="00766392">
                  <w:pPr>
                    <w:rPr>
                      <w:rFonts w:cs="Arial"/>
                      <w:b/>
                      <w:bCs/>
                    </w:rPr>
                  </w:pPr>
                </w:p>
              </w:tc>
            </w:tr>
            <w:tr w:rsidR="00B079CB" w14:paraId="158E5739" w14:textId="77777777" w:rsidTr="003B02D7">
              <w:tc>
                <w:tcPr>
                  <w:tcW w:w="2419" w:type="dxa"/>
                </w:tcPr>
                <w:p w14:paraId="383E7690" w14:textId="77777777" w:rsidR="00D033A1" w:rsidRPr="00D033A1" w:rsidRDefault="007314C9" w:rsidP="00D033A1">
                  <w:pPr>
                    <w:rPr>
                      <w:rFonts w:cs="Arial"/>
                      <w:b/>
                      <w:bCs/>
                    </w:rPr>
                  </w:pPr>
                  <w:r w:rsidRPr="00D033A1">
                    <w:rPr>
                      <w:rFonts w:cs="Arial"/>
                      <w:b/>
                      <w:bCs/>
                    </w:rPr>
                    <w:t xml:space="preserve">Is this a Key </w:t>
                  </w:r>
                  <w:proofErr w:type="gramStart"/>
                  <w:r w:rsidRPr="00D033A1">
                    <w:rPr>
                      <w:rFonts w:cs="Arial"/>
                      <w:b/>
                      <w:bCs/>
                    </w:rPr>
                    <w:t>Decision:</w:t>
                  </w:r>
                  <w:proofErr w:type="gramEnd"/>
                </w:p>
              </w:tc>
              <w:tc>
                <w:tcPr>
                  <w:tcW w:w="2419" w:type="dxa"/>
                </w:tcPr>
                <w:p w14:paraId="4F5742DC" w14:textId="77777777" w:rsidR="00D033A1" w:rsidRPr="001B3C82" w:rsidRDefault="001B3C82" w:rsidP="00D033A1">
                  <w:pPr>
                    <w:rPr>
                      <w:rFonts w:cs="Arial"/>
                      <w:b/>
                      <w:bCs/>
                    </w:rPr>
                  </w:pPr>
                  <w:r w:rsidRPr="001B3C82">
                    <w:rPr>
                      <w:rFonts w:cs="Arial"/>
                      <w:b/>
                      <w:bCs/>
                    </w:rPr>
                    <w:t>No</w:t>
                  </w:r>
                </w:p>
              </w:tc>
              <w:tc>
                <w:tcPr>
                  <w:tcW w:w="2419" w:type="dxa"/>
                </w:tcPr>
                <w:p w14:paraId="61ACD5E0" w14:textId="77777777" w:rsidR="00D033A1" w:rsidRPr="00D033A1" w:rsidRDefault="007314C9" w:rsidP="00D033A1">
                  <w:pPr>
                    <w:rPr>
                      <w:rFonts w:cs="Arial"/>
                      <w:b/>
                      <w:bCs/>
                    </w:rPr>
                  </w:pPr>
                  <w:r w:rsidRPr="00D033A1">
                    <w:rPr>
                      <w:rFonts w:cs="Arial"/>
                      <w:b/>
                      <w:bCs/>
                    </w:rPr>
                    <w:t>Included in Forward Plan</w:t>
                  </w:r>
                  <w:r>
                    <w:rPr>
                      <w:rFonts w:cs="Arial"/>
                      <w:b/>
                      <w:bCs/>
                    </w:rPr>
                    <w:t>:</w:t>
                  </w:r>
                </w:p>
              </w:tc>
              <w:tc>
                <w:tcPr>
                  <w:tcW w:w="2419" w:type="dxa"/>
                </w:tcPr>
                <w:p w14:paraId="3E95D80E" w14:textId="77777777" w:rsidR="00D223C8" w:rsidRPr="001B3C82" w:rsidRDefault="008410C9" w:rsidP="008410C9">
                  <w:pPr>
                    <w:rPr>
                      <w:rFonts w:cs="Arial"/>
                      <w:b/>
                      <w:bCs/>
                    </w:rPr>
                  </w:pPr>
                  <w:r w:rsidRPr="001B3C82">
                    <w:rPr>
                      <w:rFonts w:cs="Arial"/>
                      <w:b/>
                      <w:bCs/>
                    </w:rPr>
                    <w:t>No</w:t>
                  </w:r>
                </w:p>
              </w:tc>
            </w:tr>
            <w:tr w:rsidR="00B079CB" w14:paraId="5F6F14E6" w14:textId="77777777" w:rsidTr="002200CF">
              <w:tc>
                <w:tcPr>
                  <w:tcW w:w="2419" w:type="dxa"/>
                </w:tcPr>
                <w:p w14:paraId="10B4D9C9" w14:textId="77777777" w:rsidR="00D033A1" w:rsidRPr="00D033A1" w:rsidRDefault="007314C9" w:rsidP="00D033A1">
                  <w:pPr>
                    <w:rPr>
                      <w:rFonts w:cs="Arial"/>
                      <w:b/>
                      <w:bCs/>
                    </w:rPr>
                  </w:pPr>
                  <w:r w:rsidRPr="00D033A1">
                    <w:rPr>
                      <w:rFonts w:cs="Arial"/>
                      <w:b/>
                      <w:bCs/>
                    </w:rPr>
                    <w:t>Exempt / Confidential Report:</w:t>
                  </w:r>
                </w:p>
              </w:tc>
              <w:tc>
                <w:tcPr>
                  <w:tcW w:w="7257" w:type="dxa"/>
                  <w:gridSpan w:val="3"/>
                  <w:shd w:val="clear" w:color="auto" w:fill="auto"/>
                </w:tcPr>
                <w:p w14:paraId="0513B0B7" w14:textId="77777777" w:rsidR="00D223C8" w:rsidRPr="001B3C82" w:rsidRDefault="001B3C82" w:rsidP="00D223C8">
                  <w:pPr>
                    <w:rPr>
                      <w:rFonts w:cs="Arial"/>
                      <w:b/>
                      <w:bCs/>
                    </w:rPr>
                  </w:pPr>
                  <w:r w:rsidRPr="001B3C82">
                    <w:rPr>
                      <w:rFonts w:cs="Arial"/>
                      <w:b/>
                      <w:bCs/>
                    </w:rPr>
                    <w:t>No</w:t>
                  </w:r>
                </w:p>
              </w:tc>
            </w:tr>
          </w:tbl>
          <w:p w14:paraId="4381B324" w14:textId="77777777" w:rsidR="00D033A1" w:rsidRPr="00D033A1" w:rsidRDefault="002F05ED" w:rsidP="00D033A1">
            <w:pPr>
              <w:rPr>
                <w:rFonts w:cs="Arial"/>
                <w:b/>
                <w:bCs/>
              </w:rPr>
            </w:pPr>
          </w:p>
          <w:p w14:paraId="61C24205" w14:textId="77777777" w:rsidR="00513DCB" w:rsidRDefault="007314C9">
            <w:pPr>
              <w:rPr>
                <w:rFonts w:cs="Arial"/>
                <w:b/>
                <w:bCs/>
              </w:rPr>
            </w:pPr>
            <w:r>
              <w:rPr>
                <w:rFonts w:cs="Arial"/>
                <w:b/>
                <w:bCs/>
              </w:rPr>
              <w:t>Summary:</w:t>
            </w:r>
          </w:p>
          <w:p w14:paraId="746BA0C4" w14:textId="77777777" w:rsidR="008B44BD" w:rsidRDefault="008B44BD">
            <w:pPr>
              <w:rPr>
                <w:rFonts w:cs="Arial"/>
                <w:b/>
                <w:bCs/>
              </w:rPr>
            </w:pPr>
          </w:p>
          <w:p w14:paraId="60036F12" w14:textId="1D6AAF8B" w:rsidR="00C10E7E" w:rsidRDefault="001B3C82" w:rsidP="008410C9">
            <w:pPr>
              <w:rPr>
                <w:rFonts w:cs="Arial"/>
                <w:b/>
                <w:bCs/>
              </w:rPr>
            </w:pPr>
            <w:r w:rsidRPr="00FB7A6A">
              <w:rPr>
                <w:rFonts w:eastAsia="Calibri" w:cs="Arial"/>
                <w:szCs w:val="24"/>
              </w:rPr>
              <w:t>The</w:t>
            </w:r>
            <w:r>
              <w:rPr>
                <w:rFonts w:eastAsia="Calibri" w:cs="Arial"/>
                <w:szCs w:val="24"/>
              </w:rPr>
              <w:t xml:space="preserve"> purpose of this report is </w:t>
            </w:r>
            <w:r w:rsidR="00EB2DCF">
              <w:rPr>
                <w:rFonts w:eastAsia="Calibri" w:cs="Arial"/>
                <w:szCs w:val="24"/>
              </w:rPr>
              <w:t xml:space="preserve">to seek approval </w:t>
            </w:r>
            <w:r w:rsidR="000D046F">
              <w:rPr>
                <w:rFonts w:eastAsia="Calibri" w:cs="Arial"/>
                <w:szCs w:val="24"/>
              </w:rPr>
              <w:t>for</w:t>
            </w:r>
            <w:r>
              <w:rPr>
                <w:rFonts w:eastAsia="Calibri" w:cs="Arial"/>
                <w:szCs w:val="24"/>
              </w:rPr>
              <w:t xml:space="preserve"> </w:t>
            </w:r>
            <w:r w:rsidR="008B44BD">
              <w:rPr>
                <w:rFonts w:eastAsia="Calibri" w:cs="Arial"/>
                <w:szCs w:val="24"/>
              </w:rPr>
              <w:t>the Strategic Housing Market Assessment</w:t>
            </w:r>
            <w:r>
              <w:rPr>
                <w:rFonts w:eastAsia="Calibri" w:cs="Arial"/>
                <w:szCs w:val="24"/>
              </w:rPr>
              <w:t xml:space="preserve"> </w:t>
            </w:r>
            <w:r w:rsidR="003D008A">
              <w:rPr>
                <w:rFonts w:eastAsia="Calibri" w:cs="Arial"/>
                <w:szCs w:val="24"/>
              </w:rPr>
              <w:t xml:space="preserve">(SHMA) </w:t>
            </w:r>
            <w:r w:rsidR="008B44BD">
              <w:rPr>
                <w:rFonts w:eastAsia="Calibri" w:cs="Arial"/>
                <w:szCs w:val="24"/>
              </w:rPr>
              <w:t>update</w:t>
            </w:r>
            <w:r w:rsidR="000D046F">
              <w:rPr>
                <w:rFonts w:eastAsia="Calibri" w:cs="Arial"/>
                <w:szCs w:val="24"/>
              </w:rPr>
              <w:t xml:space="preserve"> 2019</w:t>
            </w:r>
            <w:r w:rsidR="0070759D">
              <w:rPr>
                <w:rFonts w:eastAsia="Calibri" w:cs="Arial"/>
                <w:szCs w:val="24"/>
              </w:rPr>
              <w:t>.</w:t>
            </w:r>
          </w:p>
          <w:p w14:paraId="7EC8E6B8" w14:textId="77777777" w:rsidR="008410C9" w:rsidRDefault="008410C9" w:rsidP="008410C9">
            <w:pPr>
              <w:rPr>
                <w:rFonts w:cs="Arial"/>
                <w:b/>
                <w:bCs/>
              </w:rPr>
            </w:pPr>
          </w:p>
          <w:p w14:paraId="7C48113C" w14:textId="77777777" w:rsidR="008410C9" w:rsidRDefault="008410C9" w:rsidP="008410C9">
            <w:pPr>
              <w:rPr>
                <w:rFonts w:cs="Arial"/>
                <w:b/>
                <w:bCs/>
              </w:rPr>
            </w:pPr>
          </w:p>
        </w:tc>
      </w:tr>
      <w:tr w:rsidR="00B079CB" w14:paraId="326805FF" w14:textId="77777777" w:rsidTr="00D033A1">
        <w:tblPrEx>
          <w:tblLook w:val="0000" w:firstRow="0" w:lastRow="0" w:firstColumn="0" w:lastColumn="0" w:noHBand="0" w:noVBand="0"/>
        </w:tblPrEx>
        <w:tc>
          <w:tcPr>
            <w:tcW w:w="9676" w:type="dxa"/>
            <w:tcBorders>
              <w:top w:val="nil"/>
              <w:left w:val="nil"/>
              <w:bottom w:val="nil"/>
              <w:right w:val="nil"/>
            </w:tcBorders>
          </w:tcPr>
          <w:p w14:paraId="2AC71471" w14:textId="77777777" w:rsidR="00513DCB" w:rsidRDefault="007314C9" w:rsidP="00BF5495">
            <w:pPr>
              <w:rPr>
                <w:rFonts w:cs="Arial"/>
                <w:b/>
                <w:bCs/>
              </w:rPr>
            </w:pPr>
            <w:r>
              <w:rPr>
                <w:rFonts w:cs="Arial"/>
                <w:b/>
                <w:bCs/>
              </w:rPr>
              <w:t>Recommendation(s):</w:t>
            </w:r>
          </w:p>
        </w:tc>
      </w:tr>
      <w:tr w:rsidR="00B079CB" w14:paraId="135F48B1" w14:textId="77777777" w:rsidTr="00D033A1">
        <w:tblPrEx>
          <w:tblLook w:val="0000" w:firstRow="0" w:lastRow="0" w:firstColumn="0" w:lastColumn="0" w:noHBand="0" w:noVBand="0"/>
        </w:tblPrEx>
        <w:tc>
          <w:tcPr>
            <w:tcW w:w="9676" w:type="dxa"/>
            <w:tcBorders>
              <w:top w:val="nil"/>
              <w:left w:val="nil"/>
              <w:bottom w:val="nil"/>
              <w:right w:val="nil"/>
            </w:tcBorders>
          </w:tcPr>
          <w:p w14:paraId="5BBAE466" w14:textId="77777777" w:rsidR="00513DCB" w:rsidRPr="000578E3" w:rsidRDefault="002F05ED" w:rsidP="00BF5495">
            <w:pPr>
              <w:rPr>
                <w:rFonts w:cs="Arial"/>
                <w:bCs/>
              </w:rPr>
            </w:pPr>
          </w:p>
          <w:p w14:paraId="2BD8F1F3" w14:textId="58C9C0CB" w:rsidR="0070759D" w:rsidRPr="0070759D" w:rsidRDefault="0070759D" w:rsidP="00BF5495">
            <w:pPr>
              <w:rPr>
                <w:rFonts w:cs="Arial"/>
                <w:b/>
                <w:bCs/>
              </w:rPr>
            </w:pPr>
            <w:r w:rsidRPr="0070759D">
              <w:rPr>
                <w:rFonts w:cs="Arial"/>
                <w:bCs/>
              </w:rPr>
              <w:t xml:space="preserve">That </w:t>
            </w:r>
            <w:r w:rsidRPr="0070759D">
              <w:rPr>
                <w:rFonts w:cs="Arial"/>
                <w:b/>
                <w:bCs/>
              </w:rPr>
              <w:t>Cabinet Member</w:t>
            </w:r>
            <w:r w:rsidRPr="0070759D">
              <w:rPr>
                <w:rFonts w:cs="Arial"/>
                <w:bCs/>
              </w:rPr>
              <w:t>:</w:t>
            </w:r>
          </w:p>
          <w:p w14:paraId="3CC6C966" w14:textId="77777777" w:rsidR="0070759D" w:rsidRPr="0070759D" w:rsidRDefault="0070759D" w:rsidP="00BF5495">
            <w:pPr>
              <w:rPr>
                <w:rFonts w:cs="Arial"/>
                <w:bCs/>
              </w:rPr>
            </w:pPr>
          </w:p>
          <w:p w14:paraId="0FA77905" w14:textId="4CD31497" w:rsidR="00BC7730" w:rsidRDefault="00525CC2" w:rsidP="00BF5495">
            <w:pPr>
              <w:rPr>
                <w:rFonts w:cs="Arial"/>
              </w:rPr>
            </w:pPr>
            <w:r>
              <w:rPr>
                <w:rFonts w:eastAsia="Calibri" w:cs="Arial"/>
                <w:szCs w:val="24"/>
              </w:rPr>
              <w:t>Approves t</w:t>
            </w:r>
            <w:r w:rsidR="00664A91">
              <w:rPr>
                <w:rFonts w:eastAsia="Calibri" w:cs="Arial"/>
                <w:szCs w:val="24"/>
              </w:rPr>
              <w:t xml:space="preserve">he Strategic Housing Market Assessment </w:t>
            </w:r>
            <w:r w:rsidR="003D008A">
              <w:rPr>
                <w:rFonts w:eastAsia="Calibri" w:cs="Arial"/>
                <w:szCs w:val="24"/>
              </w:rPr>
              <w:t>(SHMA)</w:t>
            </w:r>
            <w:r w:rsidR="00A8681E">
              <w:rPr>
                <w:rFonts w:eastAsia="Calibri" w:cs="Arial"/>
                <w:szCs w:val="24"/>
              </w:rPr>
              <w:t xml:space="preserve"> update 2019 for publication</w:t>
            </w:r>
            <w:r w:rsidR="0070759D" w:rsidRPr="0070759D">
              <w:rPr>
                <w:rFonts w:cs="Arial"/>
              </w:rPr>
              <w:t>.</w:t>
            </w:r>
          </w:p>
          <w:p w14:paraId="2272C758" w14:textId="77777777" w:rsidR="000D046F" w:rsidRDefault="000D046F" w:rsidP="00BF5495">
            <w:pPr>
              <w:rPr>
                <w:rFonts w:cs="Arial"/>
              </w:rPr>
            </w:pPr>
          </w:p>
          <w:p w14:paraId="215F1214" w14:textId="43A3028D" w:rsidR="000D046F" w:rsidRDefault="00525CC2" w:rsidP="00BF5495">
            <w:pPr>
              <w:rPr>
                <w:rFonts w:cs="Arial"/>
              </w:rPr>
            </w:pPr>
            <w:r>
              <w:rPr>
                <w:rFonts w:cs="Arial"/>
              </w:rPr>
              <w:t>Notes t</w:t>
            </w:r>
            <w:r w:rsidR="00A8681E">
              <w:rPr>
                <w:rFonts w:cs="Arial"/>
              </w:rPr>
              <w:t xml:space="preserve">hat no affordable home ownership </w:t>
            </w:r>
            <w:r w:rsidR="00671867">
              <w:rPr>
                <w:rFonts w:cs="Arial"/>
              </w:rPr>
              <w:t xml:space="preserve">units </w:t>
            </w:r>
            <w:r>
              <w:rPr>
                <w:rFonts w:cs="Arial"/>
              </w:rPr>
              <w:t>will be</w:t>
            </w:r>
            <w:r w:rsidR="00671867">
              <w:rPr>
                <w:rFonts w:cs="Arial"/>
              </w:rPr>
              <w:t xml:space="preserve"> sought o</w:t>
            </w:r>
            <w:r w:rsidR="00E92B69">
              <w:rPr>
                <w:rFonts w:cs="Arial"/>
              </w:rPr>
              <w:t>n</w:t>
            </w:r>
            <w:r w:rsidR="00671867">
              <w:rPr>
                <w:rFonts w:cs="Arial"/>
              </w:rPr>
              <w:t xml:space="preserve"> schemes of </w:t>
            </w:r>
            <w:r w:rsidR="00EF6F31">
              <w:rPr>
                <w:rFonts w:cs="Arial"/>
              </w:rPr>
              <w:t xml:space="preserve">14 homes </w:t>
            </w:r>
            <w:r w:rsidR="00A211C7">
              <w:rPr>
                <w:rFonts w:cs="Arial"/>
              </w:rPr>
              <w:t xml:space="preserve">or fewer </w:t>
            </w:r>
            <w:r w:rsidR="00EF6F31">
              <w:rPr>
                <w:rFonts w:cs="Arial"/>
              </w:rPr>
              <w:t>in line with paragraph 64</w:t>
            </w:r>
            <w:r w:rsidR="00DA6082">
              <w:rPr>
                <w:rFonts w:cs="Arial"/>
              </w:rPr>
              <w:t xml:space="preserve"> </w:t>
            </w:r>
            <w:r w:rsidR="00E8084D">
              <w:rPr>
                <w:rFonts w:cs="Arial"/>
              </w:rPr>
              <w:t>of the National Planning Policy Framework (NPPF)</w:t>
            </w:r>
            <w:r w:rsidR="00EF6F31">
              <w:rPr>
                <w:rFonts w:cs="Arial"/>
              </w:rPr>
              <w:t xml:space="preserve"> and </w:t>
            </w:r>
            <w:r w:rsidR="006A1549">
              <w:rPr>
                <w:rFonts w:cs="Arial"/>
              </w:rPr>
              <w:t>Policy HC1 of the Sefton Local Plan</w:t>
            </w:r>
            <w:r w:rsidR="00013F12">
              <w:rPr>
                <w:rFonts w:cs="Arial"/>
              </w:rPr>
              <w:t>.</w:t>
            </w:r>
          </w:p>
          <w:p w14:paraId="191235D9" w14:textId="77777777" w:rsidR="006A1549" w:rsidRDefault="006A1549" w:rsidP="00BF5495">
            <w:pPr>
              <w:rPr>
                <w:rFonts w:cs="Arial"/>
              </w:rPr>
            </w:pPr>
          </w:p>
          <w:p w14:paraId="1CD2089F" w14:textId="582DEDF1" w:rsidR="006A1549" w:rsidRDefault="00525CC2" w:rsidP="00BF5495">
            <w:pPr>
              <w:rPr>
                <w:rFonts w:cs="Arial"/>
              </w:rPr>
            </w:pPr>
            <w:r>
              <w:rPr>
                <w:rFonts w:cs="Arial"/>
              </w:rPr>
              <w:t>Notes t</w:t>
            </w:r>
            <w:r w:rsidR="00A05DAA">
              <w:rPr>
                <w:rFonts w:cs="Arial"/>
              </w:rPr>
              <w:t xml:space="preserve">hat the tenure split for affordable housing </w:t>
            </w:r>
            <w:r w:rsidR="00E8084D">
              <w:rPr>
                <w:rFonts w:cs="Arial"/>
              </w:rPr>
              <w:t xml:space="preserve">to be applied </w:t>
            </w:r>
            <w:r w:rsidR="00A05DAA">
              <w:rPr>
                <w:rFonts w:cs="Arial"/>
              </w:rPr>
              <w:t xml:space="preserve">on qualifying schemes </w:t>
            </w:r>
            <w:r w:rsidR="00F4750F" w:rsidRPr="00823132">
              <w:rPr>
                <w:rFonts w:cs="Arial"/>
              </w:rPr>
              <w:t xml:space="preserve">is 33:67 </w:t>
            </w:r>
            <w:r w:rsidR="00013F12" w:rsidRPr="00823132">
              <w:rPr>
                <w:rFonts w:cs="Arial"/>
              </w:rPr>
              <w:t xml:space="preserve">(between affordable/social rent and </w:t>
            </w:r>
            <w:r w:rsidR="00043AB7">
              <w:rPr>
                <w:rFonts w:cs="Arial"/>
              </w:rPr>
              <w:t>affordable</w:t>
            </w:r>
            <w:r w:rsidR="00013F12" w:rsidRPr="00823132">
              <w:rPr>
                <w:rFonts w:cs="Arial"/>
              </w:rPr>
              <w:t xml:space="preserve"> home</w:t>
            </w:r>
            <w:r w:rsidR="00043AB7">
              <w:rPr>
                <w:rFonts w:cs="Arial"/>
              </w:rPr>
              <w:t>ownership</w:t>
            </w:r>
            <w:r w:rsidR="00013F12" w:rsidRPr="00823132">
              <w:rPr>
                <w:rFonts w:cs="Arial"/>
              </w:rPr>
              <w:t xml:space="preserve">) </w:t>
            </w:r>
            <w:r w:rsidR="00F4750F" w:rsidRPr="00823132">
              <w:rPr>
                <w:rFonts w:cs="Arial"/>
              </w:rPr>
              <w:t>in Bootle and</w:t>
            </w:r>
            <w:r w:rsidR="00F4750F">
              <w:rPr>
                <w:rFonts w:cs="Arial"/>
              </w:rPr>
              <w:t xml:space="preserve"> Netherton and 67:33 </w:t>
            </w:r>
            <w:r w:rsidR="00043AB7" w:rsidRPr="00823132">
              <w:rPr>
                <w:rFonts w:cs="Arial"/>
              </w:rPr>
              <w:t xml:space="preserve">(between affordable/social rent and </w:t>
            </w:r>
            <w:r w:rsidR="00043AB7">
              <w:rPr>
                <w:rFonts w:cs="Arial"/>
              </w:rPr>
              <w:t>affordable</w:t>
            </w:r>
            <w:r w:rsidR="00043AB7" w:rsidRPr="00823132">
              <w:rPr>
                <w:rFonts w:cs="Arial"/>
              </w:rPr>
              <w:t xml:space="preserve"> home</w:t>
            </w:r>
            <w:r w:rsidR="00043AB7">
              <w:rPr>
                <w:rFonts w:cs="Arial"/>
              </w:rPr>
              <w:t>ownership</w:t>
            </w:r>
            <w:r w:rsidR="00043AB7" w:rsidRPr="00823132">
              <w:rPr>
                <w:rFonts w:cs="Arial"/>
              </w:rPr>
              <w:t xml:space="preserve">) </w:t>
            </w:r>
            <w:r w:rsidR="00F4750F">
              <w:rPr>
                <w:rFonts w:cs="Arial"/>
              </w:rPr>
              <w:t xml:space="preserve">elsewhere </w:t>
            </w:r>
            <w:r w:rsidR="00013F12">
              <w:rPr>
                <w:rFonts w:cs="Arial"/>
              </w:rPr>
              <w:t>in line with paragraph 64 of the NPPF.</w:t>
            </w:r>
          </w:p>
          <w:p w14:paraId="21950249" w14:textId="6C857F7C" w:rsidR="00F205C8" w:rsidRDefault="00F205C8" w:rsidP="00043AB7">
            <w:pPr>
              <w:rPr>
                <w:rFonts w:cs="Arial"/>
              </w:rPr>
            </w:pPr>
          </w:p>
          <w:p w14:paraId="5878B780" w14:textId="43271653" w:rsidR="00F205C8" w:rsidRDefault="00FD6DC8" w:rsidP="00043AB7">
            <w:pPr>
              <w:rPr>
                <w:rFonts w:cs="Arial"/>
              </w:rPr>
            </w:pPr>
            <w:r>
              <w:rPr>
                <w:rFonts w:cs="Arial"/>
              </w:rPr>
              <w:t>Agrees that the preferred type of affordable home ownership product</w:t>
            </w:r>
            <w:r w:rsidR="00043AB7">
              <w:rPr>
                <w:rFonts w:cs="Arial"/>
              </w:rPr>
              <w:t>s</w:t>
            </w:r>
            <w:r>
              <w:rPr>
                <w:rFonts w:cs="Arial"/>
              </w:rPr>
              <w:t xml:space="preserve"> </w:t>
            </w:r>
            <w:proofErr w:type="gramStart"/>
            <w:r>
              <w:rPr>
                <w:rFonts w:cs="Arial"/>
              </w:rPr>
              <w:t>are</w:t>
            </w:r>
            <w:proofErr w:type="gramEnd"/>
            <w:r>
              <w:rPr>
                <w:rFonts w:cs="Arial"/>
              </w:rPr>
              <w:t xml:space="preserve"> those </w:t>
            </w:r>
            <w:r w:rsidR="00E40041">
              <w:rPr>
                <w:rFonts w:cs="Arial"/>
              </w:rPr>
              <w:t>that include</w:t>
            </w:r>
            <w:r w:rsidR="00043AB7">
              <w:rPr>
                <w:rFonts w:cs="Arial"/>
              </w:rPr>
              <w:t xml:space="preserve"> </w:t>
            </w:r>
            <w:r w:rsidR="00043AB7" w:rsidRPr="00043AB7">
              <w:rPr>
                <w:rFonts w:cs="Arial"/>
              </w:rPr>
              <w:t>some initial upfront capital payment (such as a deposit contribution)</w:t>
            </w:r>
            <w:r w:rsidR="00043AB7">
              <w:rPr>
                <w:rFonts w:cs="Arial"/>
              </w:rPr>
              <w:t>.</w:t>
            </w:r>
          </w:p>
          <w:p w14:paraId="28CD2A0F" w14:textId="61D338D2" w:rsidR="00F205C8" w:rsidRDefault="00F205C8" w:rsidP="00043AB7">
            <w:pPr>
              <w:rPr>
                <w:rFonts w:cs="Arial"/>
              </w:rPr>
            </w:pPr>
          </w:p>
          <w:p w14:paraId="7F37B30B" w14:textId="627EDA70" w:rsidR="00F205C8" w:rsidRPr="00393FED" w:rsidRDefault="00F15FBA" w:rsidP="00043AB7">
            <w:pPr>
              <w:rPr>
                <w:rFonts w:cs="Arial"/>
              </w:rPr>
            </w:pPr>
            <w:r w:rsidRPr="000737BE">
              <w:rPr>
                <w:rFonts w:cs="Arial"/>
              </w:rPr>
              <w:t xml:space="preserve">Notes that </w:t>
            </w:r>
            <w:r w:rsidR="00E8084D">
              <w:rPr>
                <w:rFonts w:cs="Arial"/>
              </w:rPr>
              <w:t xml:space="preserve">in order to be considered affordable, </w:t>
            </w:r>
            <w:r w:rsidRPr="000737BE">
              <w:rPr>
                <w:rFonts w:cs="Arial"/>
              </w:rPr>
              <w:t xml:space="preserve">homes approved for discounted market sale </w:t>
            </w:r>
            <w:r w:rsidR="00A7379B" w:rsidRPr="000737BE">
              <w:rPr>
                <w:rFonts w:cs="Arial"/>
              </w:rPr>
              <w:t xml:space="preserve">are to be discounted </w:t>
            </w:r>
            <w:r w:rsidR="00012D3F" w:rsidRPr="000737BE">
              <w:rPr>
                <w:rFonts w:cs="Arial"/>
              </w:rPr>
              <w:t xml:space="preserve">to </w:t>
            </w:r>
            <w:r w:rsidR="000737BE">
              <w:rPr>
                <w:rFonts w:cs="Arial"/>
              </w:rPr>
              <w:t xml:space="preserve">80% of full market value </w:t>
            </w:r>
            <w:r w:rsidR="000737BE" w:rsidRPr="00237DF8">
              <w:rPr>
                <w:rFonts w:cs="Arial"/>
                <w:u w:val="single"/>
              </w:rPr>
              <w:t>or</w:t>
            </w:r>
            <w:r w:rsidR="000737BE">
              <w:rPr>
                <w:rFonts w:cs="Arial"/>
              </w:rPr>
              <w:t xml:space="preserve"> </w:t>
            </w:r>
            <w:r w:rsidR="00012D3F" w:rsidRPr="000737BE">
              <w:rPr>
                <w:rFonts w:cs="Arial"/>
              </w:rPr>
              <w:t xml:space="preserve">the amounts </w:t>
            </w:r>
            <w:r w:rsidR="000737BE" w:rsidRPr="000737BE">
              <w:rPr>
                <w:rFonts w:cs="Arial"/>
              </w:rPr>
              <w:t xml:space="preserve">set out </w:t>
            </w:r>
            <w:r w:rsidR="00012D3F" w:rsidRPr="000737BE">
              <w:rPr>
                <w:rFonts w:cs="Arial"/>
              </w:rPr>
              <w:t xml:space="preserve">in </w:t>
            </w:r>
            <w:r w:rsidR="00012D3F" w:rsidRPr="00393FED">
              <w:rPr>
                <w:rFonts w:cs="Arial"/>
              </w:rPr>
              <w:t>table 4.26</w:t>
            </w:r>
            <w:r w:rsidR="000737BE" w:rsidRPr="00393FED">
              <w:rPr>
                <w:rFonts w:cs="Arial"/>
              </w:rPr>
              <w:t xml:space="preserve"> </w:t>
            </w:r>
            <w:r w:rsidR="00A211C7" w:rsidRPr="00393FED">
              <w:rPr>
                <w:rFonts w:cs="Arial"/>
              </w:rPr>
              <w:t>of the S</w:t>
            </w:r>
            <w:r w:rsidR="002F05ED">
              <w:rPr>
                <w:rFonts w:cs="Arial"/>
              </w:rPr>
              <w:t>H</w:t>
            </w:r>
            <w:bookmarkStart w:id="0" w:name="_GoBack"/>
            <w:bookmarkEnd w:id="0"/>
            <w:r w:rsidR="00A211C7" w:rsidRPr="00393FED">
              <w:rPr>
                <w:rFonts w:cs="Arial"/>
              </w:rPr>
              <w:t xml:space="preserve">MA </w:t>
            </w:r>
            <w:r w:rsidR="000737BE" w:rsidRPr="00393FED">
              <w:rPr>
                <w:rFonts w:cs="Arial"/>
              </w:rPr>
              <w:t>(</w:t>
            </w:r>
            <w:r w:rsidR="00012D3F" w:rsidRPr="00393FED">
              <w:rPr>
                <w:rFonts w:cs="Arial"/>
              </w:rPr>
              <w:t xml:space="preserve">or a </w:t>
            </w:r>
            <w:r w:rsidR="000737BE" w:rsidRPr="00393FED">
              <w:rPr>
                <w:rFonts w:cs="Arial"/>
              </w:rPr>
              <w:t>subsequent update) whichever is lower.</w:t>
            </w:r>
          </w:p>
          <w:p w14:paraId="79D3BA75" w14:textId="4AA522E0" w:rsidR="00DA6082" w:rsidRPr="00393FED" w:rsidRDefault="00DA6082" w:rsidP="00043AB7">
            <w:pPr>
              <w:rPr>
                <w:rFonts w:cs="Arial"/>
              </w:rPr>
            </w:pPr>
          </w:p>
          <w:p w14:paraId="3C37B554" w14:textId="09B458FE" w:rsidR="00DA6082" w:rsidRDefault="00DA6082" w:rsidP="00043AB7">
            <w:pPr>
              <w:rPr>
                <w:rFonts w:cs="Arial"/>
              </w:rPr>
            </w:pPr>
            <w:r w:rsidRPr="00393FED">
              <w:rPr>
                <w:rFonts w:cs="Arial"/>
              </w:rPr>
              <w:t xml:space="preserve">Agrees that the amount of affordable housing required on a site will be calculated by units rather than </w:t>
            </w:r>
            <w:proofErr w:type="spellStart"/>
            <w:r w:rsidR="00CC0968" w:rsidRPr="00393FED">
              <w:rPr>
                <w:rFonts w:cs="Arial"/>
              </w:rPr>
              <w:t>bedspaces</w:t>
            </w:r>
            <w:proofErr w:type="spellEnd"/>
            <w:r w:rsidR="00CC0968" w:rsidRPr="00393FED">
              <w:rPr>
                <w:rFonts w:cs="Arial"/>
              </w:rPr>
              <w:t xml:space="preserve"> and that this will </w:t>
            </w:r>
            <w:proofErr w:type="gramStart"/>
            <w:r w:rsidR="00CC0968" w:rsidRPr="00393FED">
              <w:rPr>
                <w:rFonts w:cs="Arial"/>
              </w:rPr>
              <w:t>monitored</w:t>
            </w:r>
            <w:proofErr w:type="gramEnd"/>
            <w:r w:rsidR="00CC0968" w:rsidRPr="00393FED">
              <w:rPr>
                <w:rFonts w:cs="Arial"/>
              </w:rPr>
              <w:t xml:space="preserve"> to ensure it is delivering the type of affordable housing that is needed.</w:t>
            </w:r>
          </w:p>
          <w:p w14:paraId="0CF3004D" w14:textId="77777777" w:rsidR="00C63F74" w:rsidRDefault="00C63F74" w:rsidP="00BF5495">
            <w:pPr>
              <w:rPr>
                <w:rFonts w:cs="Arial"/>
              </w:rPr>
            </w:pPr>
          </w:p>
          <w:p w14:paraId="31292AE4" w14:textId="539F9259" w:rsidR="00C63F74" w:rsidRDefault="00525CC2" w:rsidP="00BF5495">
            <w:pPr>
              <w:rPr>
                <w:rFonts w:cs="Arial"/>
              </w:rPr>
            </w:pPr>
            <w:r>
              <w:rPr>
                <w:rFonts w:cs="Arial"/>
              </w:rPr>
              <w:lastRenderedPageBreak/>
              <w:t>Agrees t</w:t>
            </w:r>
            <w:r w:rsidR="00C63F74">
              <w:rPr>
                <w:rFonts w:cs="Arial"/>
              </w:rPr>
              <w:t xml:space="preserve">o note the other </w:t>
            </w:r>
            <w:r>
              <w:rPr>
                <w:rFonts w:cs="Arial"/>
              </w:rPr>
              <w:t xml:space="preserve">policy </w:t>
            </w:r>
            <w:r w:rsidR="00C63F74">
              <w:rPr>
                <w:rFonts w:cs="Arial"/>
              </w:rPr>
              <w:t xml:space="preserve">recommendations in the SHMA and to </w:t>
            </w:r>
            <w:r w:rsidR="00E92B69">
              <w:rPr>
                <w:rFonts w:cs="Arial"/>
              </w:rPr>
              <w:t xml:space="preserve">seek to promote them through appropriate policy </w:t>
            </w:r>
            <w:r>
              <w:rPr>
                <w:rFonts w:cs="Arial"/>
              </w:rPr>
              <w:t>reviews.</w:t>
            </w:r>
          </w:p>
        </w:tc>
      </w:tr>
    </w:tbl>
    <w:p w14:paraId="49747C4D" w14:textId="77777777" w:rsidR="00513DCB" w:rsidRPr="000578E3" w:rsidRDefault="002F05ED">
      <w:pPr>
        <w:rPr>
          <w:rFonts w:cs="Arial"/>
          <w:bCs/>
        </w:rPr>
      </w:pPr>
    </w:p>
    <w:p w14:paraId="14D17330" w14:textId="77777777" w:rsidR="00513DCB" w:rsidRDefault="007314C9" w:rsidP="00BF5495">
      <w:pPr>
        <w:ind w:firstLine="142"/>
        <w:rPr>
          <w:rFonts w:cs="Arial"/>
          <w:b/>
          <w:bCs/>
        </w:rPr>
      </w:pPr>
      <w:r>
        <w:rPr>
          <w:rFonts w:cs="Arial"/>
          <w:b/>
          <w:bCs/>
        </w:rPr>
        <w:t>Reasons for the Recommendation(s):</w:t>
      </w:r>
    </w:p>
    <w:p w14:paraId="423CAA6A" w14:textId="77777777" w:rsidR="00513DCB" w:rsidRDefault="002F05ED" w:rsidP="00BF5495">
      <w:pPr>
        <w:ind w:firstLine="142"/>
        <w:rPr>
          <w:rFonts w:cs="Arial"/>
          <w:bCs/>
        </w:rPr>
      </w:pPr>
    </w:p>
    <w:p w14:paraId="2C628445" w14:textId="0D1FC3E1" w:rsidR="008410C9" w:rsidRDefault="00512994" w:rsidP="007F19EE">
      <w:pPr>
        <w:ind w:left="142"/>
        <w:rPr>
          <w:rFonts w:cs="Arial"/>
          <w:bCs/>
        </w:rPr>
      </w:pPr>
      <w:r>
        <w:rPr>
          <w:rFonts w:cs="Arial"/>
          <w:bCs/>
        </w:rPr>
        <w:t xml:space="preserve">To enable the </w:t>
      </w:r>
      <w:r w:rsidR="007F19EE">
        <w:rPr>
          <w:rFonts w:eastAsia="Calibri" w:cs="Arial"/>
          <w:szCs w:val="24"/>
        </w:rPr>
        <w:t xml:space="preserve">Strategic Housing Market Assessment (SHMA) update to be </w:t>
      </w:r>
      <w:r w:rsidR="00F14E75">
        <w:rPr>
          <w:rFonts w:eastAsia="Calibri" w:cs="Arial"/>
          <w:szCs w:val="24"/>
        </w:rPr>
        <w:t xml:space="preserve">published and to </w:t>
      </w:r>
      <w:r w:rsidR="00C63F74">
        <w:rPr>
          <w:rFonts w:eastAsia="Calibri" w:cs="Arial"/>
          <w:szCs w:val="24"/>
        </w:rPr>
        <w:t>ensure the Council are applying its affordable housing policies in line with updated National Planning Policy Framework</w:t>
      </w:r>
      <w:r w:rsidR="007F19EE">
        <w:rPr>
          <w:rFonts w:eastAsia="Calibri" w:cs="Arial"/>
          <w:szCs w:val="24"/>
        </w:rPr>
        <w:t>.</w:t>
      </w:r>
      <w:r w:rsidR="00E524A5">
        <w:rPr>
          <w:rFonts w:eastAsia="Calibri" w:cs="Arial"/>
          <w:szCs w:val="24"/>
        </w:rPr>
        <w:t xml:space="preserve"> </w:t>
      </w:r>
    </w:p>
    <w:p w14:paraId="5A7903C9" w14:textId="77777777" w:rsidR="00512994" w:rsidRPr="000578E3" w:rsidRDefault="00512994" w:rsidP="00BF5495">
      <w:pPr>
        <w:ind w:firstLine="142"/>
        <w:rPr>
          <w:rFonts w:cs="Arial"/>
          <w:bCs/>
        </w:rPr>
      </w:pPr>
    </w:p>
    <w:p w14:paraId="6F93231D" w14:textId="77777777" w:rsidR="00513DCB" w:rsidRDefault="007314C9" w:rsidP="00BF5495">
      <w:pPr>
        <w:ind w:firstLine="142"/>
        <w:rPr>
          <w:rFonts w:cs="Arial"/>
          <w:b/>
          <w:bCs/>
        </w:rPr>
      </w:pPr>
      <w:r>
        <w:rPr>
          <w:rFonts w:cs="Arial"/>
          <w:b/>
          <w:bCs/>
        </w:rPr>
        <w:t xml:space="preserve">Alternative Options Considered and Rejected: </w:t>
      </w:r>
      <w:r w:rsidRPr="009647E0">
        <w:rPr>
          <w:rFonts w:cs="Arial"/>
          <w:bCs/>
        </w:rPr>
        <w:t>(including any Risk Implications)</w:t>
      </w:r>
    </w:p>
    <w:p w14:paraId="7AB6FB5B" w14:textId="77777777" w:rsidR="00513DCB" w:rsidRDefault="002F05ED" w:rsidP="00BF5495">
      <w:pPr>
        <w:ind w:firstLine="142"/>
        <w:rPr>
          <w:rFonts w:cs="Arial"/>
          <w:bCs/>
        </w:rPr>
      </w:pPr>
    </w:p>
    <w:p w14:paraId="58D5BA95" w14:textId="41194DA8" w:rsidR="007F19EE" w:rsidRPr="000578E3" w:rsidRDefault="007F19EE" w:rsidP="007F19EE">
      <w:pPr>
        <w:ind w:left="142"/>
        <w:rPr>
          <w:rFonts w:cs="Arial"/>
          <w:bCs/>
        </w:rPr>
      </w:pPr>
      <w:r>
        <w:rPr>
          <w:rFonts w:cs="Arial"/>
          <w:bCs/>
        </w:rPr>
        <w:t xml:space="preserve">Not to publish </w:t>
      </w:r>
      <w:r w:rsidR="00525CC2">
        <w:rPr>
          <w:rFonts w:cs="Arial"/>
          <w:bCs/>
        </w:rPr>
        <w:t>the SHMA or act upon its findings</w:t>
      </w:r>
      <w:r>
        <w:rPr>
          <w:rFonts w:cs="Arial"/>
          <w:bCs/>
        </w:rPr>
        <w:t xml:space="preserve">. However, the evidence that support the planning policies is dated and </w:t>
      </w:r>
      <w:r w:rsidR="00A211C7">
        <w:rPr>
          <w:rFonts w:cs="Arial"/>
          <w:bCs/>
        </w:rPr>
        <w:t>needs to be updated to reflect changes to national policy and guidance</w:t>
      </w:r>
      <w:r w:rsidR="006E0F1D">
        <w:rPr>
          <w:rFonts w:cs="Arial"/>
          <w:bCs/>
        </w:rPr>
        <w:t>.</w:t>
      </w:r>
    </w:p>
    <w:p w14:paraId="1A63CEF5" w14:textId="77777777" w:rsidR="00D033A1" w:rsidRPr="000578E3" w:rsidRDefault="002F05ED" w:rsidP="00BF5495">
      <w:pPr>
        <w:ind w:firstLine="142"/>
        <w:rPr>
          <w:rFonts w:cs="Arial"/>
          <w:bCs/>
        </w:rPr>
      </w:pPr>
    </w:p>
    <w:p w14:paraId="020744E8" w14:textId="77777777" w:rsidR="00513DCB" w:rsidRDefault="007314C9" w:rsidP="00BF5495">
      <w:pPr>
        <w:ind w:firstLine="142"/>
        <w:rPr>
          <w:rFonts w:cs="Arial"/>
          <w:b/>
          <w:bCs/>
        </w:rPr>
      </w:pPr>
      <w:r>
        <w:rPr>
          <w:rFonts w:cs="Arial"/>
          <w:b/>
          <w:bCs/>
        </w:rPr>
        <w:t>What will it cost and how will it be financed?</w:t>
      </w:r>
    </w:p>
    <w:p w14:paraId="6BEB18B9" w14:textId="77777777" w:rsidR="00513DCB" w:rsidRPr="000578E3" w:rsidRDefault="002F05ED" w:rsidP="00BF5495">
      <w:pPr>
        <w:ind w:firstLine="142"/>
        <w:rPr>
          <w:rFonts w:cs="Arial"/>
          <w:bCs/>
        </w:rPr>
      </w:pPr>
    </w:p>
    <w:p w14:paraId="35206400" w14:textId="77777777" w:rsidR="00513DCB" w:rsidRDefault="007314C9" w:rsidP="00BF5495">
      <w:pPr>
        <w:ind w:firstLine="142"/>
        <w:rPr>
          <w:rFonts w:cs="Arial"/>
          <w:b/>
          <w:bCs/>
        </w:rPr>
      </w:pPr>
      <w:r>
        <w:rPr>
          <w:rFonts w:cs="Arial"/>
          <w:b/>
          <w:bCs/>
        </w:rPr>
        <w:t>(A)</w:t>
      </w:r>
      <w:r>
        <w:rPr>
          <w:rFonts w:cs="Arial"/>
          <w:b/>
          <w:bCs/>
        </w:rPr>
        <w:tab/>
        <w:t>Revenue Costs</w:t>
      </w:r>
    </w:p>
    <w:p w14:paraId="63E446DC" w14:textId="77777777" w:rsidR="00CF6A8F" w:rsidRDefault="00CF6A8F" w:rsidP="00CF6A8F">
      <w:pPr>
        <w:ind w:left="142"/>
        <w:rPr>
          <w:rFonts w:cs="Arial"/>
          <w:bCs/>
        </w:rPr>
      </w:pPr>
      <w:bookmarkStart w:id="1" w:name="_Hlk24381001"/>
    </w:p>
    <w:p w14:paraId="3D08F2C7" w14:textId="76EC10A6" w:rsidR="00CF6A8F" w:rsidRDefault="00CF6A8F" w:rsidP="00CF6A8F">
      <w:pPr>
        <w:ind w:left="142"/>
        <w:rPr>
          <w:rFonts w:cs="Arial"/>
          <w:bCs/>
        </w:rPr>
      </w:pPr>
      <w:r w:rsidRPr="00023EB2">
        <w:rPr>
          <w:rFonts w:cs="Arial"/>
          <w:bCs/>
        </w:rPr>
        <w:t xml:space="preserve">The Head of Corporate Resources has been consulted and notes </w:t>
      </w:r>
      <w:r>
        <w:rPr>
          <w:rFonts w:cs="Arial"/>
          <w:bCs/>
        </w:rPr>
        <w:t>that any costs associated with the publication of the Strategic Housing Market Assessment (SHMA) Update 2019 will be met from the existing Planning Service revenue budget. There are no other direct financial implications associated with this report. (FD 5844/19)</w:t>
      </w:r>
      <w:r w:rsidRPr="00023EB2">
        <w:rPr>
          <w:rFonts w:cs="Arial"/>
          <w:bCs/>
        </w:rPr>
        <w:t>.</w:t>
      </w:r>
      <w:bookmarkEnd w:id="1"/>
      <w:r w:rsidR="00547B79">
        <w:rPr>
          <w:rFonts w:cs="Arial"/>
          <w:bCs/>
        </w:rPr>
        <w:t xml:space="preserve"> </w:t>
      </w:r>
      <w:r>
        <w:rPr>
          <w:rFonts w:cs="Arial"/>
          <w:bCs/>
        </w:rPr>
        <w:t>Costs will be met from existing Planning Service revenue budget</w:t>
      </w:r>
    </w:p>
    <w:p w14:paraId="12986B0F" w14:textId="77777777" w:rsidR="00513DCB" w:rsidRDefault="002F05ED" w:rsidP="00BF5495">
      <w:pPr>
        <w:ind w:firstLine="142"/>
        <w:rPr>
          <w:rFonts w:cs="Arial"/>
          <w:bCs/>
        </w:rPr>
      </w:pPr>
    </w:p>
    <w:p w14:paraId="7C4FCCAD" w14:textId="77777777" w:rsidR="00D033A1" w:rsidRPr="000578E3" w:rsidRDefault="002F05ED" w:rsidP="00BF5495">
      <w:pPr>
        <w:ind w:firstLine="142"/>
        <w:rPr>
          <w:rFonts w:cs="Arial"/>
          <w:bCs/>
        </w:rPr>
      </w:pPr>
    </w:p>
    <w:p w14:paraId="1C6C0BD3" w14:textId="77777777" w:rsidR="00513DCB" w:rsidRDefault="007314C9" w:rsidP="00BF5495">
      <w:pPr>
        <w:ind w:firstLine="142"/>
        <w:rPr>
          <w:rFonts w:cs="Arial"/>
          <w:b/>
          <w:bCs/>
        </w:rPr>
      </w:pPr>
      <w:r>
        <w:rPr>
          <w:rFonts w:cs="Arial"/>
          <w:b/>
          <w:bCs/>
        </w:rPr>
        <w:t>(B)</w:t>
      </w:r>
      <w:r>
        <w:rPr>
          <w:rFonts w:cs="Arial"/>
          <w:b/>
          <w:bCs/>
        </w:rPr>
        <w:tab/>
        <w:t>Capital Costs</w:t>
      </w:r>
    </w:p>
    <w:p w14:paraId="780E649B" w14:textId="77777777" w:rsidR="007C551A" w:rsidRPr="006626FC" w:rsidRDefault="007314C9" w:rsidP="00BF5495">
      <w:pPr>
        <w:ind w:firstLine="142"/>
        <w:rPr>
          <w:rFonts w:cs="Arial"/>
          <w:bCs/>
        </w:rPr>
      </w:pPr>
      <w:r w:rsidRPr="006626FC">
        <w:rPr>
          <w:rFonts w:cs="Arial"/>
          <w:bCs/>
        </w:rPr>
        <w:t>n/a</w:t>
      </w:r>
    </w:p>
    <w:p w14:paraId="5B368F09" w14:textId="77777777" w:rsidR="007C551A" w:rsidRDefault="002F05ED" w:rsidP="00BF5495">
      <w:pPr>
        <w:ind w:firstLine="142"/>
        <w:rPr>
          <w:rFonts w:cs="Arial"/>
          <w:b/>
          <w:bCs/>
        </w:rPr>
      </w:pPr>
    </w:p>
    <w:p w14:paraId="571A2881" w14:textId="77777777" w:rsidR="00513DCB" w:rsidRDefault="007314C9" w:rsidP="00BF5495">
      <w:pPr>
        <w:ind w:firstLine="142"/>
        <w:rPr>
          <w:rFonts w:cs="Arial"/>
          <w:b/>
          <w:bCs/>
        </w:rPr>
      </w:pPr>
      <w:r>
        <w:rPr>
          <w:rFonts w:cs="Arial"/>
          <w:b/>
          <w:bCs/>
        </w:rPr>
        <w:t>Implications of the Proposals:</w:t>
      </w:r>
    </w:p>
    <w:p w14:paraId="2190CDB5" w14:textId="77777777" w:rsidR="00513DCB" w:rsidRDefault="002F05ED">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2"/>
      </w:tblGrid>
      <w:tr w:rsidR="00B079CB" w14:paraId="445E29EF" w14:textId="77777777" w:rsidTr="00302402">
        <w:tc>
          <w:tcPr>
            <w:tcW w:w="9568" w:type="dxa"/>
          </w:tcPr>
          <w:p w14:paraId="4B30615C" w14:textId="77777777" w:rsidR="0000640B" w:rsidRDefault="007314C9" w:rsidP="00D033A1">
            <w:pPr>
              <w:rPr>
                <w:rFonts w:cs="Arial"/>
                <w:b/>
                <w:bCs/>
              </w:rPr>
            </w:pPr>
            <w:r>
              <w:rPr>
                <w:rFonts w:cs="Arial"/>
                <w:b/>
                <w:bCs/>
              </w:rPr>
              <w:t>Resource Implications (Financial, IT, Staffing and Assets):</w:t>
            </w:r>
          </w:p>
          <w:p w14:paraId="1A13E0A3" w14:textId="77777777" w:rsidR="006F6FA3" w:rsidRDefault="002F05ED" w:rsidP="00D033A1">
            <w:pPr>
              <w:rPr>
                <w:rFonts w:cs="Arial"/>
                <w:b/>
                <w:bCs/>
              </w:rPr>
            </w:pPr>
          </w:p>
          <w:p w14:paraId="079D9B5E" w14:textId="15887138" w:rsidR="00D033A1" w:rsidRPr="00C6532F" w:rsidRDefault="0042459B" w:rsidP="00DC150E">
            <w:pPr>
              <w:rPr>
                <w:rFonts w:cs="Arial"/>
                <w:bCs/>
              </w:rPr>
            </w:pPr>
            <w:r>
              <w:rPr>
                <w:rFonts w:cs="Arial"/>
                <w:bCs/>
              </w:rPr>
              <w:t>None</w:t>
            </w:r>
          </w:p>
        </w:tc>
      </w:tr>
      <w:tr w:rsidR="00B079CB" w14:paraId="2C311FA3" w14:textId="77777777" w:rsidTr="00302402">
        <w:tc>
          <w:tcPr>
            <w:tcW w:w="9568" w:type="dxa"/>
          </w:tcPr>
          <w:p w14:paraId="6B7B85EC" w14:textId="77777777" w:rsidR="00513DCB" w:rsidRDefault="007314C9">
            <w:pPr>
              <w:rPr>
                <w:rFonts w:cs="Arial"/>
                <w:b/>
                <w:bCs/>
              </w:rPr>
            </w:pPr>
            <w:r>
              <w:rPr>
                <w:rFonts w:cs="Arial"/>
                <w:b/>
                <w:bCs/>
              </w:rPr>
              <w:t>Legal Implications:</w:t>
            </w:r>
          </w:p>
          <w:p w14:paraId="7CCD8F3D" w14:textId="77777777" w:rsidR="006F6FA3" w:rsidRPr="000578E3" w:rsidRDefault="002F05ED">
            <w:pPr>
              <w:rPr>
                <w:rFonts w:cs="Arial"/>
                <w:bCs/>
              </w:rPr>
            </w:pPr>
          </w:p>
          <w:p w14:paraId="74FD1590" w14:textId="45D0B116" w:rsidR="00513DCB" w:rsidRPr="00C6532F" w:rsidRDefault="0042459B" w:rsidP="00DC150E">
            <w:pPr>
              <w:rPr>
                <w:rFonts w:cs="Arial"/>
                <w:bCs/>
              </w:rPr>
            </w:pPr>
            <w:r>
              <w:rPr>
                <w:rFonts w:cs="Arial"/>
                <w:bCs/>
              </w:rPr>
              <w:t>None</w:t>
            </w:r>
          </w:p>
        </w:tc>
      </w:tr>
      <w:tr w:rsidR="00B079CB" w14:paraId="1BF95603" w14:textId="77777777" w:rsidTr="00302402">
        <w:tc>
          <w:tcPr>
            <w:tcW w:w="9568" w:type="dxa"/>
          </w:tcPr>
          <w:p w14:paraId="73978076" w14:textId="77777777" w:rsidR="00513DCB" w:rsidRPr="000578E3" w:rsidRDefault="007314C9" w:rsidP="0000640B">
            <w:pPr>
              <w:spacing w:after="100" w:afterAutospacing="1"/>
              <w:rPr>
                <w:rFonts w:cs="Arial"/>
                <w:bCs/>
              </w:rPr>
            </w:pPr>
            <w:r>
              <w:rPr>
                <w:rFonts w:cs="Arial"/>
                <w:b/>
                <w:bCs/>
              </w:rPr>
              <w:t>Equality Implications:</w:t>
            </w:r>
          </w:p>
          <w:p w14:paraId="16281D50" w14:textId="34518D8C" w:rsidR="00513DCB" w:rsidRPr="006F6FA3" w:rsidRDefault="007314C9" w:rsidP="00307D8A">
            <w:pPr>
              <w:spacing w:after="100" w:afterAutospacing="1"/>
              <w:rPr>
                <w:rFonts w:cs="Arial"/>
                <w:b/>
              </w:rPr>
            </w:pPr>
            <w:r w:rsidRPr="00307D8A">
              <w:rPr>
                <w:rFonts w:cs="Arial"/>
                <w:bCs/>
              </w:rPr>
              <w:t>T</w:t>
            </w:r>
            <w:r w:rsidR="002350FA">
              <w:rPr>
                <w:rFonts w:cs="Arial"/>
                <w:bCs/>
              </w:rPr>
              <w:t>he SHMA findings helps diversify the type and range of homes provided which will be more closely linked to need.</w:t>
            </w:r>
          </w:p>
        </w:tc>
      </w:tr>
    </w:tbl>
    <w:p w14:paraId="476583A9" w14:textId="77777777" w:rsidR="005C479C" w:rsidRDefault="002F05ED">
      <w:pPr>
        <w:rPr>
          <w:rFonts w:cs="Arial"/>
          <w:b/>
          <w:bCs/>
        </w:rPr>
      </w:pPr>
    </w:p>
    <w:p w14:paraId="1C78CAAE" w14:textId="77777777" w:rsidR="00FF20F6" w:rsidRDefault="007314C9" w:rsidP="00BF5495">
      <w:pPr>
        <w:ind w:firstLine="142"/>
        <w:rPr>
          <w:rFonts w:cs="Arial"/>
          <w:b/>
          <w:bCs/>
        </w:rPr>
      </w:pPr>
      <w:r>
        <w:rPr>
          <w:rFonts w:cs="Arial"/>
          <w:b/>
          <w:bCs/>
        </w:rPr>
        <w:t>Contribution to the Council’s Core Purpose:</w:t>
      </w:r>
    </w:p>
    <w:p w14:paraId="61043858" w14:textId="77777777" w:rsidR="00FF20F6" w:rsidRDefault="002F05ED" w:rsidP="00FF20F6">
      <w:pPr>
        <w:rPr>
          <w:rFonts w:cs="Arial"/>
          <w:bCs/>
        </w:rPr>
      </w:pPr>
    </w:p>
    <w:p w14:paraId="79F27E94" w14:textId="77777777" w:rsidR="00FF20F6" w:rsidRDefault="002F05ED" w:rsidP="00FF20F6">
      <w:pPr>
        <w:rPr>
          <w:rFonts w:cs="Arial"/>
          <w:bCs/>
        </w:rPr>
      </w:pPr>
    </w:p>
    <w:tbl>
      <w:tblPr>
        <w:tblStyle w:val="TableGrid"/>
        <w:tblW w:w="0" w:type="auto"/>
        <w:tblInd w:w="108" w:type="dxa"/>
        <w:tblLook w:val="04A0" w:firstRow="1" w:lastRow="0" w:firstColumn="1" w:lastColumn="0" w:noHBand="0" w:noVBand="1"/>
      </w:tblPr>
      <w:tblGrid>
        <w:gridCol w:w="9342"/>
      </w:tblGrid>
      <w:tr w:rsidR="00B079CB" w14:paraId="0BC05353" w14:textId="77777777" w:rsidTr="00FF20F6">
        <w:tc>
          <w:tcPr>
            <w:tcW w:w="9568" w:type="dxa"/>
            <w:tcBorders>
              <w:top w:val="single" w:sz="4" w:space="0" w:color="auto"/>
              <w:left w:val="single" w:sz="4" w:space="0" w:color="auto"/>
              <w:bottom w:val="single" w:sz="4" w:space="0" w:color="auto"/>
              <w:right w:val="single" w:sz="4" w:space="0" w:color="auto"/>
            </w:tcBorders>
          </w:tcPr>
          <w:p w14:paraId="66EEE235" w14:textId="77777777" w:rsidR="00FF20F6" w:rsidRDefault="007314C9">
            <w:pPr>
              <w:rPr>
                <w:rFonts w:cs="Arial"/>
                <w:bCs/>
              </w:rPr>
            </w:pPr>
            <w:r>
              <w:rPr>
                <w:rFonts w:cs="Arial"/>
                <w:bCs/>
              </w:rPr>
              <w:t>Protect the most vulnerable:</w:t>
            </w:r>
          </w:p>
          <w:p w14:paraId="75690190" w14:textId="77777777" w:rsidR="00FF20F6" w:rsidRDefault="002F05ED">
            <w:pPr>
              <w:rPr>
                <w:rFonts w:cs="Arial"/>
                <w:bCs/>
              </w:rPr>
            </w:pPr>
          </w:p>
          <w:p w14:paraId="586DEA3F" w14:textId="77777777" w:rsidR="009E5DBB" w:rsidRDefault="009E5DBB">
            <w:pPr>
              <w:rPr>
                <w:rFonts w:cs="Arial"/>
                <w:bCs/>
              </w:rPr>
            </w:pPr>
            <w:r>
              <w:rPr>
                <w:rFonts w:cs="Arial"/>
                <w:bCs/>
              </w:rPr>
              <w:t>n/a</w:t>
            </w:r>
          </w:p>
        </w:tc>
      </w:tr>
      <w:tr w:rsidR="00B079CB" w14:paraId="42BEB0E4" w14:textId="77777777" w:rsidTr="00FF20F6">
        <w:tc>
          <w:tcPr>
            <w:tcW w:w="9568" w:type="dxa"/>
            <w:tcBorders>
              <w:top w:val="single" w:sz="4" w:space="0" w:color="auto"/>
              <w:left w:val="single" w:sz="4" w:space="0" w:color="auto"/>
              <w:bottom w:val="single" w:sz="4" w:space="0" w:color="auto"/>
              <w:right w:val="single" w:sz="4" w:space="0" w:color="auto"/>
            </w:tcBorders>
          </w:tcPr>
          <w:p w14:paraId="6C4941DC" w14:textId="77777777" w:rsidR="00FF20F6" w:rsidRDefault="007314C9">
            <w:pPr>
              <w:rPr>
                <w:rFonts w:cs="Arial"/>
                <w:bCs/>
              </w:rPr>
            </w:pPr>
            <w:r>
              <w:rPr>
                <w:rFonts w:cs="Arial"/>
                <w:bCs/>
              </w:rPr>
              <w:t>Facilitate confident and resilient communities:</w:t>
            </w:r>
          </w:p>
          <w:p w14:paraId="5170834A" w14:textId="77777777" w:rsidR="00452E01" w:rsidRDefault="00452E01">
            <w:pPr>
              <w:rPr>
                <w:rFonts w:cs="Arial"/>
                <w:bCs/>
              </w:rPr>
            </w:pPr>
          </w:p>
          <w:p w14:paraId="64699D26" w14:textId="77777777" w:rsidR="00FF20F6" w:rsidRDefault="00452E01">
            <w:pPr>
              <w:rPr>
                <w:rFonts w:cs="Arial"/>
                <w:bCs/>
              </w:rPr>
            </w:pPr>
            <w:r>
              <w:rPr>
                <w:rFonts w:cs="Arial"/>
                <w:bCs/>
              </w:rPr>
              <w:t xml:space="preserve">Helps </w:t>
            </w:r>
            <w:r w:rsidR="00BF6261">
              <w:rPr>
                <w:rFonts w:cs="Arial"/>
                <w:bCs/>
              </w:rPr>
              <w:t>support a good range and mix of new housing, including affordable housing</w:t>
            </w:r>
            <w:r>
              <w:rPr>
                <w:rFonts w:cs="Arial"/>
                <w:bCs/>
              </w:rPr>
              <w:t xml:space="preserve">. </w:t>
            </w:r>
          </w:p>
        </w:tc>
      </w:tr>
      <w:tr w:rsidR="00B079CB" w14:paraId="6DB73697" w14:textId="77777777" w:rsidTr="00FF20F6">
        <w:tc>
          <w:tcPr>
            <w:tcW w:w="9568" w:type="dxa"/>
            <w:tcBorders>
              <w:top w:val="single" w:sz="4" w:space="0" w:color="auto"/>
              <w:left w:val="single" w:sz="4" w:space="0" w:color="auto"/>
              <w:bottom w:val="single" w:sz="4" w:space="0" w:color="auto"/>
              <w:right w:val="single" w:sz="4" w:space="0" w:color="auto"/>
            </w:tcBorders>
          </w:tcPr>
          <w:p w14:paraId="2894FEDC" w14:textId="77777777" w:rsidR="00FF20F6" w:rsidRDefault="007314C9">
            <w:pPr>
              <w:rPr>
                <w:rFonts w:cs="Arial"/>
                <w:bCs/>
              </w:rPr>
            </w:pPr>
            <w:r>
              <w:rPr>
                <w:rFonts w:cs="Arial"/>
                <w:bCs/>
              </w:rPr>
              <w:lastRenderedPageBreak/>
              <w:t>Commission, broker and provide core services:</w:t>
            </w:r>
          </w:p>
          <w:p w14:paraId="77020434" w14:textId="77777777" w:rsidR="00FF20F6" w:rsidRDefault="002F05ED" w:rsidP="00307D8A">
            <w:pPr>
              <w:rPr>
                <w:rFonts w:cs="Arial"/>
                <w:bCs/>
              </w:rPr>
            </w:pPr>
          </w:p>
          <w:p w14:paraId="23682745" w14:textId="77777777" w:rsidR="009E5DBB" w:rsidRDefault="009E5DBB" w:rsidP="00307D8A">
            <w:pPr>
              <w:rPr>
                <w:rFonts w:cs="Arial"/>
                <w:bCs/>
              </w:rPr>
            </w:pPr>
            <w:r>
              <w:rPr>
                <w:rFonts w:cs="Arial"/>
                <w:bCs/>
              </w:rPr>
              <w:t>n/a</w:t>
            </w:r>
          </w:p>
        </w:tc>
      </w:tr>
      <w:tr w:rsidR="00B079CB" w14:paraId="451DB97E" w14:textId="77777777" w:rsidTr="00FF20F6">
        <w:tc>
          <w:tcPr>
            <w:tcW w:w="9568" w:type="dxa"/>
            <w:tcBorders>
              <w:top w:val="single" w:sz="4" w:space="0" w:color="auto"/>
              <w:left w:val="single" w:sz="4" w:space="0" w:color="auto"/>
              <w:bottom w:val="single" w:sz="4" w:space="0" w:color="auto"/>
              <w:right w:val="single" w:sz="4" w:space="0" w:color="auto"/>
            </w:tcBorders>
          </w:tcPr>
          <w:p w14:paraId="28B6255C" w14:textId="77777777" w:rsidR="00FF20F6" w:rsidRDefault="007314C9">
            <w:pPr>
              <w:rPr>
                <w:rFonts w:cs="Arial"/>
                <w:bCs/>
              </w:rPr>
            </w:pPr>
            <w:r>
              <w:rPr>
                <w:rFonts w:cs="Arial"/>
                <w:bCs/>
              </w:rPr>
              <w:t>Place – leadership and influencer:</w:t>
            </w:r>
          </w:p>
          <w:p w14:paraId="6EC4007A" w14:textId="77777777" w:rsidR="00FF20F6" w:rsidRDefault="002F05ED">
            <w:pPr>
              <w:rPr>
                <w:rFonts w:cs="Arial"/>
                <w:bCs/>
              </w:rPr>
            </w:pPr>
          </w:p>
          <w:p w14:paraId="70534227" w14:textId="77777777" w:rsidR="009E5DBB" w:rsidRDefault="009E5DBB">
            <w:pPr>
              <w:rPr>
                <w:rFonts w:cs="Arial"/>
                <w:bCs/>
              </w:rPr>
            </w:pPr>
            <w:r>
              <w:rPr>
                <w:rFonts w:cs="Arial"/>
                <w:bCs/>
              </w:rPr>
              <w:t>n/a</w:t>
            </w:r>
          </w:p>
        </w:tc>
      </w:tr>
      <w:tr w:rsidR="00B079CB" w14:paraId="5B664907" w14:textId="77777777" w:rsidTr="002F3C29">
        <w:trPr>
          <w:trHeight w:val="890"/>
        </w:trPr>
        <w:tc>
          <w:tcPr>
            <w:tcW w:w="9568" w:type="dxa"/>
            <w:tcBorders>
              <w:top w:val="single" w:sz="4" w:space="0" w:color="auto"/>
              <w:left w:val="single" w:sz="4" w:space="0" w:color="auto"/>
              <w:bottom w:val="single" w:sz="4" w:space="0" w:color="auto"/>
              <w:right w:val="single" w:sz="4" w:space="0" w:color="auto"/>
            </w:tcBorders>
          </w:tcPr>
          <w:p w14:paraId="20620332" w14:textId="77777777" w:rsidR="00FF20F6" w:rsidRDefault="007314C9">
            <w:pPr>
              <w:rPr>
                <w:rFonts w:cs="Arial"/>
                <w:bCs/>
              </w:rPr>
            </w:pPr>
            <w:r>
              <w:rPr>
                <w:rFonts w:cs="Arial"/>
                <w:bCs/>
              </w:rPr>
              <w:t>Drivers of change and reform:</w:t>
            </w:r>
          </w:p>
          <w:p w14:paraId="6B2168A2" w14:textId="77777777" w:rsidR="00FF20F6" w:rsidRDefault="002F05ED">
            <w:pPr>
              <w:rPr>
                <w:rFonts w:cs="Arial"/>
                <w:bCs/>
              </w:rPr>
            </w:pPr>
          </w:p>
          <w:p w14:paraId="7BB7F606" w14:textId="77777777" w:rsidR="009E5DBB" w:rsidRDefault="009E5DBB">
            <w:pPr>
              <w:rPr>
                <w:rFonts w:cs="Arial"/>
                <w:bCs/>
              </w:rPr>
            </w:pPr>
            <w:r>
              <w:rPr>
                <w:rFonts w:cs="Arial"/>
                <w:bCs/>
              </w:rPr>
              <w:t>n/a</w:t>
            </w:r>
          </w:p>
        </w:tc>
      </w:tr>
      <w:tr w:rsidR="00B079CB" w14:paraId="6FD609C9" w14:textId="77777777" w:rsidTr="00FF20F6">
        <w:tc>
          <w:tcPr>
            <w:tcW w:w="9568" w:type="dxa"/>
            <w:tcBorders>
              <w:top w:val="single" w:sz="4" w:space="0" w:color="auto"/>
              <w:left w:val="single" w:sz="4" w:space="0" w:color="auto"/>
              <w:bottom w:val="single" w:sz="4" w:space="0" w:color="auto"/>
              <w:right w:val="single" w:sz="4" w:space="0" w:color="auto"/>
            </w:tcBorders>
          </w:tcPr>
          <w:p w14:paraId="7E0C6D54" w14:textId="77777777" w:rsidR="00FF20F6" w:rsidRDefault="007314C9">
            <w:pPr>
              <w:rPr>
                <w:rFonts w:cs="Arial"/>
                <w:bCs/>
              </w:rPr>
            </w:pPr>
            <w:r>
              <w:rPr>
                <w:rFonts w:cs="Arial"/>
                <w:bCs/>
              </w:rPr>
              <w:t>Facilitate sustainable economic prosperity:</w:t>
            </w:r>
          </w:p>
          <w:p w14:paraId="3DCB1CE9" w14:textId="77777777" w:rsidR="00FF20F6" w:rsidRDefault="002F05ED">
            <w:pPr>
              <w:rPr>
                <w:rFonts w:cs="Arial"/>
                <w:bCs/>
              </w:rPr>
            </w:pPr>
          </w:p>
          <w:p w14:paraId="5E3031BF" w14:textId="405C89A3" w:rsidR="009E5DBB" w:rsidRDefault="009E5DBB">
            <w:pPr>
              <w:rPr>
                <w:rFonts w:cs="Arial"/>
                <w:bCs/>
              </w:rPr>
            </w:pPr>
            <w:r>
              <w:rPr>
                <w:rFonts w:cs="Arial"/>
                <w:bCs/>
              </w:rPr>
              <w:t xml:space="preserve">Having </w:t>
            </w:r>
            <w:proofErr w:type="gramStart"/>
            <w:r>
              <w:rPr>
                <w:rFonts w:cs="Arial"/>
                <w:bCs/>
              </w:rPr>
              <w:t>a sufficient</w:t>
            </w:r>
            <w:proofErr w:type="gramEnd"/>
            <w:r>
              <w:rPr>
                <w:rFonts w:cs="Arial"/>
                <w:bCs/>
              </w:rPr>
              <w:t xml:space="preserve"> supply of homes</w:t>
            </w:r>
            <w:r w:rsidR="00BF6261">
              <w:rPr>
                <w:rFonts w:cs="Arial"/>
                <w:bCs/>
              </w:rPr>
              <w:t>, including affordable homes,</w:t>
            </w:r>
            <w:r>
              <w:rPr>
                <w:rFonts w:cs="Arial"/>
                <w:bCs/>
              </w:rPr>
              <w:t xml:space="preserve"> is important economic</w:t>
            </w:r>
            <w:r w:rsidR="004772C8">
              <w:rPr>
                <w:rFonts w:cs="Arial"/>
                <w:bCs/>
              </w:rPr>
              <w:t>ally</w:t>
            </w:r>
            <w:r>
              <w:rPr>
                <w:rFonts w:cs="Arial"/>
                <w:bCs/>
              </w:rPr>
              <w:t xml:space="preserve"> for Sefton’s communities.</w:t>
            </w:r>
          </w:p>
          <w:p w14:paraId="3420F7FA" w14:textId="7AE92B54" w:rsidR="004B4917" w:rsidRDefault="004B4917">
            <w:pPr>
              <w:rPr>
                <w:rFonts w:cs="Arial"/>
                <w:bCs/>
              </w:rPr>
            </w:pPr>
          </w:p>
        </w:tc>
      </w:tr>
      <w:tr w:rsidR="00B079CB" w14:paraId="76F63FCC" w14:textId="77777777" w:rsidTr="00FF20F6">
        <w:tc>
          <w:tcPr>
            <w:tcW w:w="9568" w:type="dxa"/>
            <w:tcBorders>
              <w:top w:val="single" w:sz="4" w:space="0" w:color="auto"/>
              <w:left w:val="single" w:sz="4" w:space="0" w:color="auto"/>
              <w:bottom w:val="single" w:sz="4" w:space="0" w:color="auto"/>
              <w:right w:val="single" w:sz="4" w:space="0" w:color="auto"/>
            </w:tcBorders>
          </w:tcPr>
          <w:p w14:paraId="0142474E" w14:textId="77777777" w:rsidR="00FF20F6" w:rsidRDefault="007314C9">
            <w:pPr>
              <w:rPr>
                <w:rFonts w:cs="Arial"/>
                <w:bCs/>
              </w:rPr>
            </w:pPr>
            <w:r>
              <w:rPr>
                <w:rFonts w:cs="Arial"/>
                <w:bCs/>
              </w:rPr>
              <w:t xml:space="preserve">Greater income for social investment: </w:t>
            </w:r>
          </w:p>
          <w:p w14:paraId="66B6225F" w14:textId="77777777" w:rsidR="00FF20F6" w:rsidRDefault="002F05ED">
            <w:pPr>
              <w:rPr>
                <w:rFonts w:cs="Arial"/>
                <w:bCs/>
              </w:rPr>
            </w:pPr>
          </w:p>
          <w:p w14:paraId="745188B3" w14:textId="77777777" w:rsidR="009E5DBB" w:rsidRDefault="009E5DBB">
            <w:pPr>
              <w:rPr>
                <w:rFonts w:cs="Arial"/>
                <w:bCs/>
              </w:rPr>
            </w:pPr>
            <w:r>
              <w:rPr>
                <w:rFonts w:cs="Arial"/>
                <w:bCs/>
              </w:rPr>
              <w:t>n/a</w:t>
            </w:r>
          </w:p>
        </w:tc>
      </w:tr>
      <w:tr w:rsidR="00B079CB" w14:paraId="60A92243" w14:textId="77777777" w:rsidTr="00FF20F6">
        <w:tc>
          <w:tcPr>
            <w:tcW w:w="9568" w:type="dxa"/>
            <w:tcBorders>
              <w:top w:val="single" w:sz="4" w:space="0" w:color="auto"/>
              <w:left w:val="single" w:sz="4" w:space="0" w:color="auto"/>
              <w:bottom w:val="single" w:sz="4" w:space="0" w:color="auto"/>
              <w:right w:val="single" w:sz="4" w:space="0" w:color="auto"/>
            </w:tcBorders>
          </w:tcPr>
          <w:p w14:paraId="5FFA7037" w14:textId="77777777" w:rsidR="00C7295E" w:rsidRDefault="007314C9">
            <w:pPr>
              <w:rPr>
                <w:rFonts w:cs="Arial"/>
                <w:bCs/>
              </w:rPr>
            </w:pPr>
            <w:r>
              <w:rPr>
                <w:rFonts w:cs="Arial"/>
                <w:bCs/>
              </w:rPr>
              <w:t>Cleaner Greener</w:t>
            </w:r>
          </w:p>
          <w:p w14:paraId="25AFD89B" w14:textId="77777777" w:rsidR="00C7295E" w:rsidRDefault="002F05ED">
            <w:pPr>
              <w:rPr>
                <w:rFonts w:cs="Arial"/>
                <w:bCs/>
              </w:rPr>
            </w:pPr>
          </w:p>
          <w:p w14:paraId="661577FD" w14:textId="77777777" w:rsidR="009E5DBB" w:rsidRDefault="009E5DBB">
            <w:pPr>
              <w:rPr>
                <w:rFonts w:cs="Arial"/>
                <w:bCs/>
              </w:rPr>
            </w:pPr>
            <w:r>
              <w:rPr>
                <w:rFonts w:cs="Arial"/>
                <w:bCs/>
              </w:rPr>
              <w:t>n/a</w:t>
            </w:r>
          </w:p>
        </w:tc>
      </w:tr>
    </w:tbl>
    <w:p w14:paraId="5394601F" w14:textId="77777777" w:rsidR="005C479C" w:rsidRDefault="002F05ED">
      <w:pPr>
        <w:rPr>
          <w:rFonts w:cs="Arial"/>
          <w:b/>
          <w:bCs/>
        </w:rPr>
      </w:pPr>
    </w:p>
    <w:p w14:paraId="7E3861CB" w14:textId="77777777" w:rsidR="00513DCB" w:rsidRDefault="007314C9">
      <w:pPr>
        <w:rPr>
          <w:rFonts w:cs="Arial"/>
          <w:b/>
          <w:bCs/>
        </w:rPr>
      </w:pPr>
      <w:r>
        <w:rPr>
          <w:rFonts w:cs="Arial"/>
          <w:b/>
          <w:bCs/>
        </w:rPr>
        <w:t>What consultations have taken place on the proposals and when?</w:t>
      </w:r>
    </w:p>
    <w:p w14:paraId="540CB576" w14:textId="77777777" w:rsidR="008A24C2" w:rsidRDefault="002F05ED" w:rsidP="008A24C2">
      <w:pPr>
        <w:rPr>
          <w:rFonts w:cs="Arial"/>
          <w:bCs/>
        </w:rPr>
      </w:pPr>
    </w:p>
    <w:p w14:paraId="069A4E81" w14:textId="77777777" w:rsidR="008A24C2" w:rsidRPr="008A24C2" w:rsidRDefault="007314C9" w:rsidP="008A24C2">
      <w:pPr>
        <w:rPr>
          <w:rFonts w:cs="Arial"/>
          <w:b/>
          <w:bCs/>
        </w:rPr>
      </w:pPr>
      <w:r w:rsidRPr="008A24C2">
        <w:rPr>
          <w:rFonts w:cs="Arial"/>
          <w:b/>
          <w:bCs/>
        </w:rPr>
        <w:t>(A)</w:t>
      </w:r>
      <w:r w:rsidRPr="008A24C2">
        <w:rPr>
          <w:rFonts w:cs="Arial"/>
          <w:b/>
          <w:bCs/>
        </w:rPr>
        <w:tab/>
        <w:t>Internal Consultations</w:t>
      </w:r>
    </w:p>
    <w:p w14:paraId="68C26E26" w14:textId="77777777" w:rsidR="008A24C2" w:rsidRDefault="002F05ED" w:rsidP="008A24C2">
      <w:pPr>
        <w:rPr>
          <w:rFonts w:cs="Arial"/>
        </w:rPr>
      </w:pPr>
    </w:p>
    <w:p w14:paraId="31BD18A7" w14:textId="258F3934" w:rsidR="00547B79" w:rsidRDefault="00547B79" w:rsidP="00547B79">
      <w:pPr>
        <w:rPr>
          <w:rFonts w:cs="Arial"/>
        </w:rPr>
      </w:pPr>
      <w:r>
        <w:rPr>
          <w:rFonts w:cs="Arial"/>
          <w:bCs/>
        </w:rPr>
        <w:t>T</w:t>
      </w:r>
      <w:r w:rsidRPr="00023EB2">
        <w:rPr>
          <w:rFonts w:cs="Arial"/>
          <w:bCs/>
        </w:rPr>
        <w:t xml:space="preserve">he Head of Corporate Resources has been consulted and notes </w:t>
      </w:r>
      <w:r>
        <w:rPr>
          <w:rFonts w:cs="Arial"/>
          <w:bCs/>
        </w:rPr>
        <w:t>that any costs associated with the publication of the Strategic Housing Market Assessment (SHMA) Update 2019 will be met from the existing Planning Service revenue budget. There are no other direct financial implications associated with this report. (FD 5844/19)</w:t>
      </w:r>
      <w:r w:rsidRPr="00023EB2">
        <w:rPr>
          <w:rFonts w:cs="Arial"/>
          <w:bCs/>
        </w:rPr>
        <w:t>.</w:t>
      </w:r>
    </w:p>
    <w:p w14:paraId="3E678CBE" w14:textId="77777777" w:rsidR="00547B79" w:rsidRPr="008A24C2" w:rsidRDefault="00547B79" w:rsidP="00547B79">
      <w:pPr>
        <w:rPr>
          <w:rFonts w:cs="Arial"/>
        </w:rPr>
      </w:pPr>
      <w:r>
        <w:rPr>
          <w:rFonts w:cs="Arial"/>
        </w:rPr>
        <w:t>Chief Legal and Democratic Officer</w:t>
      </w:r>
      <w:r w:rsidRPr="008A24C2">
        <w:rPr>
          <w:rFonts w:cs="Arial"/>
        </w:rPr>
        <w:t xml:space="preserve"> (</w:t>
      </w:r>
      <w:r>
        <w:rPr>
          <w:rFonts w:cs="Arial"/>
        </w:rPr>
        <w:t>LD 4078/19</w:t>
      </w:r>
      <w:r w:rsidRPr="008A24C2">
        <w:rPr>
          <w:rFonts w:cs="Arial"/>
        </w:rPr>
        <w:t xml:space="preserve">) have been consulted </w:t>
      </w:r>
      <w:r>
        <w:rPr>
          <w:rFonts w:cs="Arial"/>
        </w:rPr>
        <w:t>and comments have been incorporated into the report</w:t>
      </w:r>
    </w:p>
    <w:p w14:paraId="6FE9D795" w14:textId="77777777" w:rsidR="00513DCB" w:rsidRPr="000578E3" w:rsidRDefault="002F05ED">
      <w:pPr>
        <w:rPr>
          <w:rFonts w:cs="Arial"/>
          <w:bCs/>
        </w:rPr>
      </w:pPr>
    </w:p>
    <w:p w14:paraId="790054CE" w14:textId="77777777" w:rsidR="00513DCB" w:rsidRPr="008A24C2" w:rsidRDefault="007314C9">
      <w:pPr>
        <w:rPr>
          <w:rFonts w:cs="Arial"/>
          <w:b/>
          <w:bCs/>
        </w:rPr>
      </w:pPr>
      <w:r w:rsidRPr="008A24C2">
        <w:rPr>
          <w:rFonts w:cs="Arial"/>
          <w:b/>
          <w:bCs/>
        </w:rPr>
        <w:t>(B)</w:t>
      </w:r>
      <w:r w:rsidRPr="008A24C2">
        <w:rPr>
          <w:rFonts w:cs="Arial"/>
          <w:b/>
          <w:bCs/>
        </w:rPr>
        <w:tab/>
        <w:t xml:space="preserve">External Consultations </w:t>
      </w:r>
    </w:p>
    <w:p w14:paraId="1CC24F69" w14:textId="77777777" w:rsidR="00307D8A" w:rsidRPr="000578E3" w:rsidRDefault="002F05ED">
      <w:pPr>
        <w:rPr>
          <w:rFonts w:cs="Arial"/>
          <w:bCs/>
        </w:rPr>
      </w:pPr>
    </w:p>
    <w:p w14:paraId="656D2A43" w14:textId="77777777" w:rsidR="00513DCB" w:rsidRDefault="007314C9">
      <w:pPr>
        <w:rPr>
          <w:rFonts w:cs="Arial"/>
          <w:b/>
          <w:bCs/>
        </w:rPr>
      </w:pPr>
      <w:r>
        <w:rPr>
          <w:rFonts w:cs="Arial"/>
          <w:b/>
          <w:bCs/>
        </w:rPr>
        <w:t>Implementation Date for the Decision</w:t>
      </w:r>
    </w:p>
    <w:p w14:paraId="27FB323E" w14:textId="77777777" w:rsidR="00513DCB" w:rsidRPr="000578E3" w:rsidRDefault="002F05ED">
      <w:pPr>
        <w:rPr>
          <w:rFonts w:cs="Arial"/>
          <w:bCs/>
        </w:rPr>
      </w:pPr>
    </w:p>
    <w:p w14:paraId="6AC34F8F" w14:textId="77777777" w:rsidR="00513DCB" w:rsidRPr="00307D8A" w:rsidRDefault="007314C9">
      <w:pPr>
        <w:rPr>
          <w:rFonts w:cs="Arial"/>
        </w:rPr>
      </w:pPr>
      <w:r w:rsidRPr="00307D8A">
        <w:rPr>
          <w:rFonts w:cs="Arial"/>
        </w:rPr>
        <w:t>Following the expiry of the “call-in” period for the Minutes of the Cabinet Meeting</w:t>
      </w:r>
    </w:p>
    <w:p w14:paraId="61D01563" w14:textId="77777777" w:rsidR="00513DCB" w:rsidRDefault="002F05ED">
      <w:pPr>
        <w:rPr>
          <w:rFonts w:cs="Arial"/>
        </w:rPr>
      </w:pPr>
    </w:p>
    <w:p w14:paraId="06D15B26" w14:textId="77777777" w:rsidR="00513DCB" w:rsidRDefault="002F05ED">
      <w:pPr>
        <w:rPr>
          <w:rFonts w:cs="Arial"/>
        </w:rPr>
      </w:pPr>
    </w:p>
    <w:tbl>
      <w:tblPr>
        <w:tblStyle w:val="TableGrid"/>
        <w:tblW w:w="0" w:type="auto"/>
        <w:tblLook w:val="04A0" w:firstRow="1" w:lastRow="0" w:firstColumn="1" w:lastColumn="0" w:noHBand="0" w:noVBand="1"/>
      </w:tblPr>
      <w:tblGrid>
        <w:gridCol w:w="2518"/>
        <w:gridCol w:w="6804"/>
      </w:tblGrid>
      <w:tr w:rsidR="00B079CB" w14:paraId="0851FB9C" w14:textId="77777777" w:rsidTr="0088179B">
        <w:tc>
          <w:tcPr>
            <w:tcW w:w="2518" w:type="dxa"/>
          </w:tcPr>
          <w:p w14:paraId="28A26EAA" w14:textId="77777777" w:rsidR="000E3482" w:rsidRPr="000E3482" w:rsidRDefault="007314C9" w:rsidP="000E3482">
            <w:pPr>
              <w:rPr>
                <w:rFonts w:cs="Arial"/>
                <w:b/>
                <w:bCs/>
              </w:rPr>
            </w:pPr>
            <w:r w:rsidRPr="000E3482">
              <w:rPr>
                <w:rFonts w:cs="Arial"/>
                <w:b/>
                <w:bCs/>
              </w:rPr>
              <w:t>Contact Officer:</w:t>
            </w:r>
          </w:p>
        </w:tc>
        <w:tc>
          <w:tcPr>
            <w:tcW w:w="6804" w:type="dxa"/>
          </w:tcPr>
          <w:p w14:paraId="7A7C2986" w14:textId="77777777" w:rsidR="000E3482" w:rsidRPr="00D223C8" w:rsidRDefault="00EB73EC" w:rsidP="000E3482">
            <w:pPr>
              <w:rPr>
                <w:rFonts w:cs="Arial"/>
                <w:bCs/>
              </w:rPr>
            </w:pPr>
            <w:r>
              <w:rPr>
                <w:rFonts w:cs="Arial"/>
                <w:bCs/>
              </w:rPr>
              <w:t>Ian Loughlin</w:t>
            </w:r>
          </w:p>
        </w:tc>
      </w:tr>
      <w:tr w:rsidR="00B079CB" w14:paraId="40ADB576" w14:textId="77777777" w:rsidTr="0088179B">
        <w:tc>
          <w:tcPr>
            <w:tcW w:w="2518" w:type="dxa"/>
          </w:tcPr>
          <w:p w14:paraId="4C2E41F3" w14:textId="77777777" w:rsidR="000E3482" w:rsidRPr="000E3482" w:rsidRDefault="007314C9" w:rsidP="000E3482">
            <w:pPr>
              <w:rPr>
                <w:rFonts w:cs="Arial"/>
                <w:bCs/>
              </w:rPr>
            </w:pPr>
            <w:r w:rsidRPr="000E3482">
              <w:rPr>
                <w:rFonts w:cs="Arial"/>
                <w:bCs/>
              </w:rPr>
              <w:t>Telephone Number:</w:t>
            </w:r>
          </w:p>
        </w:tc>
        <w:tc>
          <w:tcPr>
            <w:tcW w:w="6804" w:type="dxa"/>
          </w:tcPr>
          <w:p w14:paraId="25A4DC8C" w14:textId="66CE9486" w:rsidR="000E3482" w:rsidRPr="00D223C8" w:rsidRDefault="00064AFE" w:rsidP="000E3482">
            <w:pPr>
              <w:rPr>
                <w:rFonts w:cs="Arial"/>
                <w:bCs/>
              </w:rPr>
            </w:pPr>
            <w:r>
              <w:rPr>
                <w:rFonts w:cs="Arial"/>
                <w:bCs/>
              </w:rPr>
              <w:t>0151 934 3</w:t>
            </w:r>
            <w:r w:rsidR="00EB73EC">
              <w:rPr>
                <w:rFonts w:cs="Arial"/>
                <w:bCs/>
              </w:rPr>
              <w:t>55</w:t>
            </w:r>
            <w:r w:rsidR="00525CC2">
              <w:rPr>
                <w:rFonts w:cs="Arial"/>
                <w:bCs/>
              </w:rPr>
              <w:t>6</w:t>
            </w:r>
          </w:p>
        </w:tc>
      </w:tr>
      <w:tr w:rsidR="00B079CB" w14:paraId="20EFD8AF" w14:textId="77777777" w:rsidTr="0088179B">
        <w:tc>
          <w:tcPr>
            <w:tcW w:w="2518" w:type="dxa"/>
          </w:tcPr>
          <w:p w14:paraId="63173819" w14:textId="77777777" w:rsidR="000E3482" w:rsidRPr="000E3482" w:rsidRDefault="007314C9" w:rsidP="000E3482">
            <w:pPr>
              <w:rPr>
                <w:rFonts w:cs="Arial"/>
                <w:bCs/>
              </w:rPr>
            </w:pPr>
            <w:r w:rsidRPr="000E3482">
              <w:rPr>
                <w:rFonts w:cs="Arial"/>
                <w:bCs/>
              </w:rPr>
              <w:t>Email Address:</w:t>
            </w:r>
          </w:p>
        </w:tc>
        <w:tc>
          <w:tcPr>
            <w:tcW w:w="6804" w:type="dxa"/>
          </w:tcPr>
          <w:p w14:paraId="0CCFF4D2" w14:textId="77777777" w:rsidR="000E3482" w:rsidRPr="00D223C8" w:rsidRDefault="007314C9" w:rsidP="000E3482">
            <w:pPr>
              <w:rPr>
                <w:rFonts w:cs="Arial"/>
                <w:bCs/>
              </w:rPr>
            </w:pPr>
            <w:r w:rsidRPr="00D223C8">
              <w:rPr>
                <w:rFonts w:cs="Arial"/>
                <w:bCs/>
              </w:rPr>
              <w:fldChar w:fldCharType="begin"/>
            </w:r>
            <w:r w:rsidRPr="00D223C8">
              <w:rPr>
                <w:rFonts w:cs="Arial"/>
                <w:bCs/>
              </w:rPr>
              <w:instrText xml:space="preserve"> DOCPROPERTY  LeadOfficerEmail  \* MERGEFORMAT </w:instrText>
            </w:r>
            <w:r w:rsidRPr="00D223C8">
              <w:rPr>
                <w:rFonts w:cs="Arial"/>
                <w:bCs/>
              </w:rPr>
              <w:fldChar w:fldCharType="separate"/>
            </w:r>
            <w:r w:rsidR="00EB73EC">
              <w:rPr>
                <w:rFonts w:cs="Arial"/>
                <w:bCs/>
              </w:rPr>
              <w:t>ian.loughlin</w:t>
            </w:r>
            <w:r>
              <w:rPr>
                <w:rFonts w:cs="Arial"/>
                <w:bCs/>
              </w:rPr>
              <w:t>@sefton.gov.uk</w:t>
            </w:r>
            <w:r w:rsidRPr="00D223C8">
              <w:rPr>
                <w:rFonts w:cs="Arial"/>
                <w:bCs/>
              </w:rPr>
              <w:fldChar w:fldCharType="end"/>
            </w:r>
            <w:r w:rsidR="00064AFE">
              <w:rPr>
                <w:rFonts w:cs="Arial"/>
                <w:bCs/>
              </w:rPr>
              <w:t xml:space="preserve"> </w:t>
            </w:r>
          </w:p>
        </w:tc>
      </w:tr>
    </w:tbl>
    <w:p w14:paraId="58799AC1" w14:textId="77777777" w:rsidR="00BC7730" w:rsidRPr="00F63C20" w:rsidRDefault="002F05ED">
      <w:pPr>
        <w:rPr>
          <w:rFonts w:cs="Arial"/>
          <w:b/>
        </w:rPr>
      </w:pPr>
    </w:p>
    <w:p w14:paraId="4C32B28F" w14:textId="77777777" w:rsidR="00513DCB" w:rsidRPr="00BC7730" w:rsidRDefault="007314C9">
      <w:pPr>
        <w:rPr>
          <w:rFonts w:cs="Arial"/>
          <w:b/>
          <w:bCs/>
        </w:rPr>
      </w:pPr>
      <w:r w:rsidRPr="00BC7730">
        <w:rPr>
          <w:rFonts w:cs="Arial"/>
          <w:b/>
          <w:bCs/>
        </w:rPr>
        <w:t>Background Papers:</w:t>
      </w:r>
    </w:p>
    <w:p w14:paraId="4FF8E6A0" w14:textId="77777777" w:rsidR="00513DCB" w:rsidRPr="00BC7730" w:rsidRDefault="002F05ED">
      <w:pPr>
        <w:rPr>
          <w:rFonts w:cs="Arial"/>
          <w:b/>
          <w:bCs/>
        </w:rPr>
      </w:pPr>
    </w:p>
    <w:p w14:paraId="1AB45754" w14:textId="00007B26" w:rsidR="005C479C" w:rsidRPr="00BA4C4F" w:rsidRDefault="00EB73EC" w:rsidP="00BA4C4F">
      <w:pPr>
        <w:pStyle w:val="ListParagraph"/>
        <w:numPr>
          <w:ilvl w:val="0"/>
          <w:numId w:val="16"/>
        </w:numPr>
        <w:rPr>
          <w:rFonts w:eastAsia="Calibri" w:cs="Arial"/>
          <w:szCs w:val="24"/>
        </w:rPr>
      </w:pPr>
      <w:r w:rsidRPr="00BA4C4F">
        <w:rPr>
          <w:rFonts w:eastAsia="Calibri" w:cs="Arial"/>
          <w:szCs w:val="24"/>
        </w:rPr>
        <w:t>The Strategic Housing Market Assessment update 2019</w:t>
      </w:r>
    </w:p>
    <w:p w14:paraId="75A25BC2" w14:textId="77777777" w:rsidR="00BA4C4F" w:rsidRPr="00BA4C4F" w:rsidRDefault="00BA4C4F" w:rsidP="00BA4C4F">
      <w:pPr>
        <w:pStyle w:val="ListParagraph"/>
        <w:numPr>
          <w:ilvl w:val="0"/>
          <w:numId w:val="16"/>
        </w:numPr>
        <w:rPr>
          <w:rFonts w:eastAsia="Calibri" w:cs="Arial"/>
          <w:szCs w:val="24"/>
        </w:rPr>
      </w:pPr>
      <w:r w:rsidRPr="00BA4C4F">
        <w:rPr>
          <w:rFonts w:cs="Arial"/>
        </w:rPr>
        <w:t xml:space="preserve">Comments to, and Council responses, to the draft </w:t>
      </w:r>
      <w:r w:rsidRPr="00BA4C4F">
        <w:rPr>
          <w:rFonts w:eastAsia="Calibri" w:cs="Arial"/>
          <w:szCs w:val="24"/>
        </w:rPr>
        <w:t>Strategic Housing Market Assessment update 2019</w:t>
      </w:r>
    </w:p>
    <w:p w14:paraId="39031656" w14:textId="77777777" w:rsidR="005C479C" w:rsidRDefault="002F05ED">
      <w:pPr>
        <w:rPr>
          <w:rFonts w:cs="Arial"/>
        </w:rPr>
      </w:pPr>
    </w:p>
    <w:p w14:paraId="467CA0A2" w14:textId="77777777" w:rsidR="00DC150E" w:rsidRDefault="007314C9">
      <w:pPr>
        <w:rPr>
          <w:rFonts w:cs="Arial"/>
        </w:rPr>
      </w:pPr>
      <w:r>
        <w:rPr>
          <w:rFonts w:cs="Arial"/>
        </w:rPr>
        <w:br w:type="page"/>
      </w:r>
    </w:p>
    <w:p w14:paraId="362B33F4" w14:textId="77777777" w:rsidR="00604A86" w:rsidRDefault="00604A86" w:rsidP="00604A86">
      <w:pPr>
        <w:rPr>
          <w:rFonts w:cs="Arial"/>
          <w:b/>
          <w:bCs/>
        </w:rPr>
      </w:pPr>
      <w:r>
        <w:rPr>
          <w:rFonts w:cs="Arial"/>
          <w:b/>
          <w:bCs/>
        </w:rPr>
        <w:lastRenderedPageBreak/>
        <w:t>1.</w:t>
      </w:r>
      <w:r>
        <w:rPr>
          <w:rFonts w:cs="Arial"/>
          <w:b/>
          <w:bCs/>
        </w:rPr>
        <w:tab/>
        <w:t>Introduction/Background</w:t>
      </w:r>
    </w:p>
    <w:p w14:paraId="3274EDF6" w14:textId="77777777" w:rsidR="00041729" w:rsidRDefault="00041729" w:rsidP="00604A86">
      <w:pPr>
        <w:rPr>
          <w:rFonts w:ascii="Times New Roman" w:hAnsi="Times New Roman"/>
        </w:rPr>
      </w:pPr>
    </w:p>
    <w:p w14:paraId="27E5E917" w14:textId="3A2BED26" w:rsidR="00C40914" w:rsidRDefault="00CE1BC9" w:rsidP="00825914">
      <w:pPr>
        <w:pStyle w:val="ListParagraph"/>
        <w:numPr>
          <w:ilvl w:val="1"/>
          <w:numId w:val="17"/>
        </w:numPr>
        <w:ind w:left="0" w:firstLine="0"/>
      </w:pPr>
      <w:r w:rsidRPr="00CE1BC9">
        <w:t xml:space="preserve">The Sefton Local Plan (adopted in April 2017) was based on </w:t>
      </w:r>
      <w:r w:rsidR="001013F3">
        <w:t>a Strategic Housing Market Assessment completed in 2014</w:t>
      </w:r>
      <w:r w:rsidR="003F3333">
        <w:t xml:space="preserve"> on the Council’s behalf by JG Consulting.</w:t>
      </w:r>
      <w:r w:rsidR="001013F3">
        <w:t xml:space="preserve"> Since the adoption of the Local Plan in 2017 the National Planning Policy Framework</w:t>
      </w:r>
      <w:r w:rsidR="008C0DC9">
        <w:t xml:space="preserve"> (NPPF)</w:t>
      </w:r>
      <w:r w:rsidR="001013F3">
        <w:t xml:space="preserve"> has been updated, firstly in July 2018 and again in February 2019. The Planning Practice Guidance (PPG) on housing need and supply was also revised in February 2019</w:t>
      </w:r>
      <w:r w:rsidR="00BA4C4F">
        <w:t xml:space="preserve"> and then again in July 2019</w:t>
      </w:r>
      <w:r w:rsidR="001013F3">
        <w:t>. Each of these revisions has potential implications f</w:t>
      </w:r>
      <w:r w:rsidR="00246343">
        <w:t>or how the Council implements</w:t>
      </w:r>
      <w:r w:rsidR="001013F3">
        <w:t xml:space="preserve"> </w:t>
      </w:r>
      <w:r w:rsidR="00246343">
        <w:t xml:space="preserve">its </w:t>
      </w:r>
      <w:r w:rsidR="001013F3">
        <w:t xml:space="preserve">housing policies in the Local Plan. </w:t>
      </w:r>
    </w:p>
    <w:p w14:paraId="57A1766C" w14:textId="77777777" w:rsidR="00C40914" w:rsidRDefault="00C40914" w:rsidP="00825914"/>
    <w:p w14:paraId="4AD9B36F" w14:textId="1380B53A" w:rsidR="001B5FB5" w:rsidRDefault="00825914" w:rsidP="00825914">
      <w:pPr>
        <w:pStyle w:val="ListParagraph"/>
        <w:numPr>
          <w:ilvl w:val="1"/>
          <w:numId w:val="17"/>
        </w:numPr>
        <w:ind w:left="0" w:firstLine="0"/>
      </w:pPr>
      <w:r>
        <w:t xml:space="preserve">Local Plan policy HC1 (part 11) specifically sets out that in implementing the policy ‘the Council will have regards to the definitions of affordable housing in relevant national guidance as they may change over time’ and ‘changes in the Borough’s requirements for affordable and special needs housing based on new evidence of need as set out in future </w:t>
      </w:r>
      <w:r w:rsidR="00750F04">
        <w:t>commissioned Strategic Housing Market Assessment</w:t>
      </w:r>
      <w:r>
        <w:t>s or similar studies.</w:t>
      </w:r>
      <w:r w:rsidR="00750F04">
        <w:t>’</w:t>
      </w:r>
      <w:r>
        <w:t xml:space="preserve"> </w:t>
      </w:r>
      <w:r w:rsidR="001013F3">
        <w:t xml:space="preserve">It was </w:t>
      </w:r>
      <w:r w:rsidR="008C0DC9">
        <w:t xml:space="preserve">therefore </w:t>
      </w:r>
      <w:r w:rsidR="001013F3">
        <w:t>considered necessary to update the Strategic Housing Market Assessment</w:t>
      </w:r>
      <w:r w:rsidR="008C0DC9">
        <w:t xml:space="preserve"> to reflect the changes to the NPPF and PPG</w:t>
      </w:r>
      <w:r w:rsidR="00750F04">
        <w:t xml:space="preserve"> and to assess how this may influence the application of the Council’s housing policies</w:t>
      </w:r>
      <w:r w:rsidR="008C0DC9">
        <w:t>.</w:t>
      </w:r>
      <w:r w:rsidR="003F3333">
        <w:t xml:space="preserve"> </w:t>
      </w:r>
    </w:p>
    <w:p w14:paraId="48FBAB6D" w14:textId="4AE52322" w:rsidR="00E279EA" w:rsidRDefault="00E279EA" w:rsidP="00604A86"/>
    <w:p w14:paraId="5381AD9C" w14:textId="07B0E952" w:rsidR="00E279EA" w:rsidRPr="00CE1BC9" w:rsidRDefault="00E279EA" w:rsidP="00604A86">
      <w:r>
        <w:t>1.</w:t>
      </w:r>
      <w:r w:rsidR="009340B9">
        <w:t>3</w:t>
      </w:r>
      <w:r>
        <w:tab/>
      </w:r>
      <w:r w:rsidR="00E537C9">
        <w:t xml:space="preserve">A draft Strategic </w:t>
      </w:r>
      <w:r w:rsidR="00E537C9" w:rsidRPr="00967DC7">
        <w:t xml:space="preserve">Housing Market Assessment (SHMA) update was published by the Council in </w:t>
      </w:r>
      <w:r w:rsidR="009340B9" w:rsidRPr="00967DC7">
        <w:t>July</w:t>
      </w:r>
      <w:r w:rsidR="00E537C9" w:rsidRPr="00967DC7">
        <w:t xml:space="preserve"> 2019 and was made available for comments. </w:t>
      </w:r>
      <w:r w:rsidR="00967DC7" w:rsidRPr="00967DC7">
        <w:t>Thirteen</w:t>
      </w:r>
      <w:r w:rsidR="00E537C9" w:rsidRPr="00967DC7">
        <w:t xml:space="preserve"> organisations/individuals made comments on the draft SHMA</w:t>
      </w:r>
      <w:r w:rsidR="00E537C9">
        <w:t xml:space="preserve"> update. These comments</w:t>
      </w:r>
      <w:r w:rsidR="004558E3">
        <w:t>, and the Council’s response,</w:t>
      </w:r>
      <w:r w:rsidR="00E537C9">
        <w:t xml:space="preserve"> are set out </w:t>
      </w:r>
      <w:r w:rsidR="004558E3">
        <w:t>at Annex A.</w:t>
      </w:r>
    </w:p>
    <w:p w14:paraId="1CC58497" w14:textId="77777777" w:rsidR="00604A86" w:rsidRDefault="00604A86" w:rsidP="00604A86">
      <w:pPr>
        <w:autoSpaceDE w:val="0"/>
        <w:autoSpaceDN w:val="0"/>
        <w:adjustRightInd w:val="0"/>
        <w:rPr>
          <w:rFonts w:cs="Arial"/>
          <w:sz w:val="22"/>
          <w:szCs w:val="22"/>
          <w:lang w:eastAsia="en-GB"/>
        </w:rPr>
      </w:pPr>
    </w:p>
    <w:p w14:paraId="607C5179" w14:textId="77777777" w:rsidR="00604A86" w:rsidRPr="00D144E2" w:rsidRDefault="00D144E2" w:rsidP="00D144E2">
      <w:pPr>
        <w:pStyle w:val="ListParagraph"/>
        <w:numPr>
          <w:ilvl w:val="0"/>
          <w:numId w:val="11"/>
        </w:numPr>
        <w:autoSpaceDE w:val="0"/>
        <w:autoSpaceDN w:val="0"/>
        <w:adjustRightInd w:val="0"/>
        <w:ind w:hanging="720"/>
        <w:rPr>
          <w:rFonts w:cs="Arial"/>
          <w:sz w:val="22"/>
          <w:szCs w:val="22"/>
          <w:lang w:eastAsia="en-GB"/>
        </w:rPr>
      </w:pPr>
      <w:r>
        <w:rPr>
          <w:rFonts w:cs="Arial"/>
          <w:b/>
          <w:bCs/>
        </w:rPr>
        <w:t>The draft</w:t>
      </w:r>
      <w:r w:rsidR="00604A86" w:rsidRPr="00D144E2">
        <w:rPr>
          <w:rFonts w:cs="Arial"/>
          <w:b/>
          <w:bCs/>
        </w:rPr>
        <w:t xml:space="preserve"> Strategic Housing </w:t>
      </w:r>
      <w:r>
        <w:rPr>
          <w:rFonts w:cs="Arial"/>
          <w:b/>
          <w:bCs/>
        </w:rPr>
        <w:t>Market</w:t>
      </w:r>
      <w:r w:rsidR="00604A86" w:rsidRPr="00D144E2">
        <w:rPr>
          <w:rFonts w:cs="Arial"/>
          <w:b/>
          <w:bCs/>
        </w:rPr>
        <w:t xml:space="preserve"> Assessment </w:t>
      </w:r>
      <w:r>
        <w:rPr>
          <w:rFonts w:cs="Arial"/>
          <w:b/>
          <w:bCs/>
        </w:rPr>
        <w:t>update</w:t>
      </w:r>
    </w:p>
    <w:p w14:paraId="1C4E66C7" w14:textId="77777777" w:rsidR="00604A86" w:rsidRDefault="00604A86" w:rsidP="00604A86">
      <w:pPr>
        <w:autoSpaceDE w:val="0"/>
        <w:autoSpaceDN w:val="0"/>
        <w:adjustRightInd w:val="0"/>
        <w:rPr>
          <w:rFonts w:cs="Arial"/>
          <w:b/>
          <w:bCs/>
        </w:rPr>
      </w:pPr>
    </w:p>
    <w:p w14:paraId="06C98F47" w14:textId="5F873980" w:rsidR="00E376AA" w:rsidRDefault="005C76A5" w:rsidP="00604A86">
      <w:pPr>
        <w:autoSpaceDE w:val="0"/>
        <w:autoSpaceDN w:val="0"/>
        <w:adjustRightInd w:val="0"/>
      </w:pPr>
      <w:r>
        <w:t>2.1</w:t>
      </w:r>
      <w:r>
        <w:tab/>
      </w:r>
      <w:r w:rsidR="00E376AA" w:rsidRPr="00E376AA">
        <w:t xml:space="preserve">The </w:t>
      </w:r>
      <w:r w:rsidR="004558E3">
        <w:t>SHMA</w:t>
      </w:r>
      <w:r w:rsidR="00E376AA" w:rsidRPr="00E376AA">
        <w:t xml:space="preserve"> is</w:t>
      </w:r>
      <w:r w:rsidR="00E376AA">
        <w:t xml:space="preserve"> divided into </w:t>
      </w:r>
      <w:proofErr w:type="gramStart"/>
      <w:r w:rsidR="00E376AA">
        <w:t>a number of</w:t>
      </w:r>
      <w:proofErr w:type="gramEnd"/>
      <w:r w:rsidR="00E376AA">
        <w:t xml:space="preserve"> sections that consider a specific </w:t>
      </w:r>
      <w:r w:rsidR="00A2385E">
        <w:t xml:space="preserve">housing </w:t>
      </w:r>
      <w:r w:rsidR="00E376AA">
        <w:t>issue</w:t>
      </w:r>
      <w:r w:rsidR="00A2385E">
        <w:t xml:space="preserve"> in depth. The report looks at evidence that has been updated since 2014 and, considering the context of the amended NPPF, PPG and the current Local Plan policies, makes recommendations for </w:t>
      </w:r>
      <w:r w:rsidR="00AD262F">
        <w:t>changes in the way the Council applies its housing policies. Some of these recommendations will be able to be implement</w:t>
      </w:r>
      <w:r w:rsidR="00E20F77">
        <w:t>ed</w:t>
      </w:r>
      <w:r w:rsidR="00AD262F">
        <w:t xml:space="preserve"> within the current Local Plan planning policy framework; whilst others are likely to need a review or partial review of the Local plan if they are to be taken forward.</w:t>
      </w:r>
    </w:p>
    <w:p w14:paraId="7D8A45FF" w14:textId="77777777" w:rsidR="00AD262F" w:rsidRDefault="00AD262F" w:rsidP="00604A86">
      <w:pPr>
        <w:autoSpaceDE w:val="0"/>
        <w:autoSpaceDN w:val="0"/>
        <w:adjustRightInd w:val="0"/>
      </w:pPr>
    </w:p>
    <w:p w14:paraId="3CAC321C" w14:textId="4A1EFC54" w:rsidR="00AD262F" w:rsidRDefault="005C76A5" w:rsidP="00604A86">
      <w:pPr>
        <w:autoSpaceDE w:val="0"/>
        <w:autoSpaceDN w:val="0"/>
        <w:adjustRightInd w:val="0"/>
      </w:pPr>
      <w:r>
        <w:t>2.2</w:t>
      </w:r>
      <w:r>
        <w:tab/>
      </w:r>
      <w:r w:rsidR="00AD262F">
        <w:t>The issues that are addressed in the SHMA update are:</w:t>
      </w:r>
    </w:p>
    <w:p w14:paraId="350B3A5C" w14:textId="77777777" w:rsidR="00AD262F" w:rsidRDefault="00AD262F" w:rsidP="00AD262F">
      <w:pPr>
        <w:pStyle w:val="ListParagraph"/>
        <w:numPr>
          <w:ilvl w:val="0"/>
          <w:numId w:val="12"/>
        </w:numPr>
        <w:autoSpaceDE w:val="0"/>
        <w:autoSpaceDN w:val="0"/>
        <w:adjustRightInd w:val="0"/>
      </w:pPr>
      <w:r>
        <w:t>Sefton Area Profile</w:t>
      </w:r>
      <w:r w:rsidR="00CC64FB">
        <w:t>;</w:t>
      </w:r>
    </w:p>
    <w:p w14:paraId="0ACA9B44" w14:textId="77777777" w:rsidR="00AD262F" w:rsidRDefault="00AD262F" w:rsidP="00AD262F">
      <w:pPr>
        <w:pStyle w:val="ListParagraph"/>
        <w:numPr>
          <w:ilvl w:val="0"/>
          <w:numId w:val="12"/>
        </w:numPr>
        <w:autoSpaceDE w:val="0"/>
        <w:autoSpaceDN w:val="0"/>
        <w:adjustRightInd w:val="0"/>
      </w:pPr>
      <w:r>
        <w:t>Demographic Trends and Housing Needs Projections</w:t>
      </w:r>
      <w:r w:rsidR="00CC64FB">
        <w:t>;</w:t>
      </w:r>
    </w:p>
    <w:p w14:paraId="19B329E4" w14:textId="77777777" w:rsidR="00AD262F" w:rsidRDefault="00AD262F" w:rsidP="00AD262F">
      <w:pPr>
        <w:pStyle w:val="ListParagraph"/>
        <w:numPr>
          <w:ilvl w:val="0"/>
          <w:numId w:val="12"/>
        </w:numPr>
        <w:autoSpaceDE w:val="0"/>
        <w:autoSpaceDN w:val="0"/>
        <w:adjustRightInd w:val="0"/>
      </w:pPr>
      <w:r>
        <w:t>Affordable Housing Need</w:t>
      </w:r>
      <w:r w:rsidR="00CC64FB">
        <w:t>;</w:t>
      </w:r>
    </w:p>
    <w:p w14:paraId="095ACD6C" w14:textId="77777777" w:rsidR="00AD262F" w:rsidRDefault="00AD262F" w:rsidP="00AD262F">
      <w:pPr>
        <w:pStyle w:val="ListParagraph"/>
        <w:numPr>
          <w:ilvl w:val="0"/>
          <w:numId w:val="12"/>
        </w:numPr>
        <w:autoSpaceDE w:val="0"/>
        <w:autoSpaceDN w:val="0"/>
        <w:adjustRightInd w:val="0"/>
      </w:pPr>
      <w:r>
        <w:t>Family Households and Housi</w:t>
      </w:r>
      <w:r w:rsidR="00CC64FB">
        <w:t>n</w:t>
      </w:r>
      <w:r>
        <w:t>g Mix</w:t>
      </w:r>
      <w:r w:rsidR="00CC64FB">
        <w:t>;</w:t>
      </w:r>
    </w:p>
    <w:p w14:paraId="7B87678C" w14:textId="77777777" w:rsidR="00AD262F" w:rsidRDefault="00AD262F" w:rsidP="00AD262F">
      <w:pPr>
        <w:pStyle w:val="ListParagraph"/>
        <w:numPr>
          <w:ilvl w:val="0"/>
          <w:numId w:val="12"/>
        </w:numPr>
        <w:autoSpaceDE w:val="0"/>
        <w:autoSpaceDN w:val="0"/>
        <w:adjustRightInd w:val="0"/>
      </w:pPr>
      <w:r>
        <w:t>Older People and People with disabilities</w:t>
      </w:r>
      <w:r w:rsidR="00CC64FB">
        <w:t>;</w:t>
      </w:r>
    </w:p>
    <w:p w14:paraId="149C525C" w14:textId="77777777" w:rsidR="00AD262F" w:rsidRDefault="00AD262F" w:rsidP="00AD262F">
      <w:pPr>
        <w:pStyle w:val="ListParagraph"/>
        <w:numPr>
          <w:ilvl w:val="0"/>
          <w:numId w:val="12"/>
        </w:numPr>
        <w:autoSpaceDE w:val="0"/>
        <w:autoSpaceDN w:val="0"/>
        <w:adjustRightInd w:val="0"/>
      </w:pPr>
      <w:r>
        <w:t>Private Rented Sector; and</w:t>
      </w:r>
    </w:p>
    <w:p w14:paraId="4C10477F" w14:textId="77777777" w:rsidR="00AD262F" w:rsidRPr="00E376AA" w:rsidRDefault="00AD262F" w:rsidP="00AD262F">
      <w:pPr>
        <w:pStyle w:val="ListParagraph"/>
        <w:numPr>
          <w:ilvl w:val="0"/>
          <w:numId w:val="12"/>
        </w:numPr>
        <w:autoSpaceDE w:val="0"/>
        <w:autoSpaceDN w:val="0"/>
        <w:adjustRightInd w:val="0"/>
      </w:pPr>
      <w:r>
        <w:t>Self and Custom Build Homes</w:t>
      </w:r>
      <w:r w:rsidR="00CC64FB">
        <w:t>.</w:t>
      </w:r>
    </w:p>
    <w:p w14:paraId="2793B632" w14:textId="77777777" w:rsidR="003552D2" w:rsidRDefault="003552D2" w:rsidP="00D144E2">
      <w:pPr>
        <w:autoSpaceDE w:val="0"/>
        <w:autoSpaceDN w:val="0"/>
        <w:adjustRightInd w:val="0"/>
        <w:ind w:left="709" w:hanging="709"/>
      </w:pPr>
    </w:p>
    <w:p w14:paraId="68C15495" w14:textId="63C9C700" w:rsidR="00604A86" w:rsidRDefault="005C76A5" w:rsidP="00604A86">
      <w:pPr>
        <w:autoSpaceDE w:val="0"/>
        <w:autoSpaceDN w:val="0"/>
        <w:adjustRightInd w:val="0"/>
      </w:pPr>
      <w:r>
        <w:t>2.3</w:t>
      </w:r>
      <w:r>
        <w:tab/>
      </w:r>
      <w:r w:rsidR="00674BD6">
        <w:t>Each of these are considered in turn with the key recommendation (if any) set out.</w:t>
      </w:r>
    </w:p>
    <w:p w14:paraId="5BD6CFB7" w14:textId="77777777" w:rsidR="00674BD6" w:rsidRDefault="00674BD6" w:rsidP="00604A86">
      <w:pPr>
        <w:autoSpaceDE w:val="0"/>
        <w:autoSpaceDN w:val="0"/>
        <w:adjustRightInd w:val="0"/>
      </w:pPr>
    </w:p>
    <w:p w14:paraId="5AEB756C" w14:textId="77777777" w:rsidR="00674BD6" w:rsidRPr="00674BD6" w:rsidRDefault="00674BD6" w:rsidP="00604A86">
      <w:pPr>
        <w:autoSpaceDE w:val="0"/>
        <w:autoSpaceDN w:val="0"/>
        <w:adjustRightInd w:val="0"/>
        <w:rPr>
          <w:u w:val="single"/>
        </w:rPr>
      </w:pPr>
      <w:r w:rsidRPr="00674BD6">
        <w:rPr>
          <w:u w:val="single"/>
        </w:rPr>
        <w:t>Sefton Area Profile</w:t>
      </w:r>
    </w:p>
    <w:p w14:paraId="16049730" w14:textId="77777777" w:rsidR="00674BD6" w:rsidRDefault="00674BD6" w:rsidP="00604A86">
      <w:pPr>
        <w:autoSpaceDE w:val="0"/>
        <w:autoSpaceDN w:val="0"/>
        <w:adjustRightInd w:val="0"/>
      </w:pPr>
    </w:p>
    <w:p w14:paraId="4928D5F1" w14:textId="37E81D4B" w:rsidR="00674BD6" w:rsidRDefault="005C76A5" w:rsidP="00604A86">
      <w:pPr>
        <w:autoSpaceDE w:val="0"/>
        <w:autoSpaceDN w:val="0"/>
        <w:adjustRightInd w:val="0"/>
      </w:pPr>
      <w:r>
        <w:t>2.4</w:t>
      </w:r>
      <w:r>
        <w:tab/>
      </w:r>
      <w:r w:rsidR="00674BD6">
        <w:t>This section looks at the profile of the borough (and the six sub areas) in terms of population and housing. This includes the age structure across Sefton, the type and tenure of homes available in the borough, whether homes are under occupied</w:t>
      </w:r>
      <w:r w:rsidR="00367E61">
        <w:t xml:space="preserve">, employment levels and academic qualifications of residents. This analysis confirms that </w:t>
      </w:r>
      <w:r w:rsidR="00367E61">
        <w:lastRenderedPageBreak/>
        <w:t xml:space="preserve">a ‘one-sized fits all’ set of policies for the borough is not relevant in Sefton and that the SHMA, and therefore the planning policies, need to look at variations across the borough. This is consistent with the approach in the current housing policies in the Local Plan and is </w:t>
      </w:r>
      <w:r w:rsidR="00EC37AC">
        <w:t>what would have been</w:t>
      </w:r>
      <w:r w:rsidR="00367E61">
        <w:t xml:space="preserve"> expected.</w:t>
      </w:r>
    </w:p>
    <w:p w14:paraId="3EA45FA9" w14:textId="77777777" w:rsidR="00367E61" w:rsidRDefault="00367E61" w:rsidP="00604A86">
      <w:pPr>
        <w:autoSpaceDE w:val="0"/>
        <w:autoSpaceDN w:val="0"/>
        <w:adjustRightInd w:val="0"/>
      </w:pPr>
    </w:p>
    <w:p w14:paraId="42F69975" w14:textId="77777777" w:rsidR="009F1557" w:rsidRPr="009F1557" w:rsidRDefault="009F1557" w:rsidP="009F1557">
      <w:pPr>
        <w:autoSpaceDE w:val="0"/>
        <w:autoSpaceDN w:val="0"/>
        <w:adjustRightInd w:val="0"/>
        <w:rPr>
          <w:u w:val="single"/>
        </w:rPr>
      </w:pPr>
      <w:r w:rsidRPr="009F1557">
        <w:rPr>
          <w:u w:val="single"/>
        </w:rPr>
        <w:t>Demographic Trends and Housing Needs Projections</w:t>
      </w:r>
    </w:p>
    <w:p w14:paraId="0969E6CA" w14:textId="77777777" w:rsidR="009F1557" w:rsidRDefault="009F1557" w:rsidP="00604A86">
      <w:pPr>
        <w:autoSpaceDE w:val="0"/>
        <w:autoSpaceDN w:val="0"/>
        <w:adjustRightInd w:val="0"/>
      </w:pPr>
    </w:p>
    <w:p w14:paraId="3EC77939" w14:textId="02497B24" w:rsidR="009F1557" w:rsidRDefault="005C76A5" w:rsidP="000A073F">
      <w:pPr>
        <w:autoSpaceDE w:val="0"/>
        <w:autoSpaceDN w:val="0"/>
        <w:adjustRightInd w:val="0"/>
      </w:pPr>
      <w:r>
        <w:t>2.5</w:t>
      </w:r>
      <w:r>
        <w:tab/>
      </w:r>
      <w:r w:rsidR="00555714" w:rsidRPr="00555714">
        <w:t>Previously,</w:t>
      </w:r>
      <w:r w:rsidR="000A073F" w:rsidRPr="00555714">
        <w:t xml:space="preserve"> assessing the level of housing nee</w:t>
      </w:r>
      <w:r w:rsidR="00555714" w:rsidRPr="00555714">
        <w:t xml:space="preserve">d has been for individual local authorities </w:t>
      </w:r>
      <w:r w:rsidR="000A073F" w:rsidRPr="00555714">
        <w:t>to prepare by following advice in Planning Practic</w:t>
      </w:r>
      <w:r w:rsidR="00555714" w:rsidRPr="00555714">
        <w:t xml:space="preserve">e </w:t>
      </w:r>
      <w:r w:rsidR="000A073F" w:rsidRPr="00555714">
        <w:t xml:space="preserve">Guidance (PPG). </w:t>
      </w:r>
      <w:r w:rsidR="00555714" w:rsidRPr="00555714">
        <w:t xml:space="preserve">This is how Sefton derived its current housing requirement set in the Local Plan. </w:t>
      </w:r>
      <w:r w:rsidR="000A073F" w:rsidRPr="00555714">
        <w:t>However, the new National Planning Policy Fr</w:t>
      </w:r>
      <w:r w:rsidR="00555714" w:rsidRPr="00555714">
        <w:t xml:space="preserve">amework (NPPF) of February 2019 </w:t>
      </w:r>
      <w:r w:rsidR="00897B59">
        <w:t xml:space="preserve">(updated in July 2019) </w:t>
      </w:r>
      <w:r w:rsidR="000A073F" w:rsidRPr="00555714">
        <w:t>has introduced a Standard Method, based on looking at projected household growth</w:t>
      </w:r>
      <w:r w:rsidR="00555714" w:rsidRPr="00555714">
        <w:t xml:space="preserve"> </w:t>
      </w:r>
      <w:r w:rsidR="000A073F" w:rsidRPr="00555714">
        <w:t>and adjustments base</w:t>
      </w:r>
      <w:r w:rsidR="00555714" w:rsidRPr="00555714">
        <w:t xml:space="preserve">d on the level of </w:t>
      </w:r>
      <w:r w:rsidR="000A073F" w:rsidRPr="00555714">
        <w:t>affordability in an area.</w:t>
      </w:r>
    </w:p>
    <w:p w14:paraId="05824F23" w14:textId="77777777" w:rsidR="00555714" w:rsidRDefault="00555714" w:rsidP="000A073F">
      <w:pPr>
        <w:autoSpaceDE w:val="0"/>
        <w:autoSpaceDN w:val="0"/>
        <w:adjustRightInd w:val="0"/>
      </w:pPr>
    </w:p>
    <w:p w14:paraId="73229381" w14:textId="6E044E3F" w:rsidR="00555714" w:rsidRDefault="005C76A5" w:rsidP="00555714">
      <w:pPr>
        <w:autoSpaceDE w:val="0"/>
        <w:autoSpaceDN w:val="0"/>
        <w:adjustRightInd w:val="0"/>
      </w:pPr>
      <w:r>
        <w:t>2.6</w:t>
      </w:r>
      <w:r>
        <w:tab/>
      </w:r>
      <w:r w:rsidR="00555714" w:rsidRPr="00E00313">
        <w:t xml:space="preserve">Applying the Standard Method suggests household growth of about 557 per annum, plus an uplift of around 16% for affordability. Therefore, the objectively assessed housing need (OAN) for the Borough </w:t>
      </w:r>
      <w:proofErr w:type="gramStart"/>
      <w:r w:rsidR="00555714" w:rsidRPr="00E00313">
        <w:t>as a whole is</w:t>
      </w:r>
      <w:proofErr w:type="gramEnd"/>
      <w:r w:rsidR="00555714" w:rsidRPr="00E00313">
        <w:t xml:space="preserve"> for 645 dwellings per annum. This calculation has been based on household growth in the 2018-28 period and a 2017 affordability ratio.</w:t>
      </w:r>
    </w:p>
    <w:p w14:paraId="1081B8FF" w14:textId="77777777" w:rsidR="00555714" w:rsidRDefault="00555714" w:rsidP="00555714">
      <w:pPr>
        <w:autoSpaceDE w:val="0"/>
        <w:autoSpaceDN w:val="0"/>
        <w:adjustRightInd w:val="0"/>
      </w:pPr>
    </w:p>
    <w:p w14:paraId="5BA2CF4C" w14:textId="3F93CBAD" w:rsidR="00555714" w:rsidRDefault="005C76A5" w:rsidP="00555714">
      <w:pPr>
        <w:autoSpaceDE w:val="0"/>
        <w:autoSpaceDN w:val="0"/>
        <w:adjustRightInd w:val="0"/>
      </w:pPr>
      <w:r>
        <w:t>2.7</w:t>
      </w:r>
      <w:r>
        <w:tab/>
      </w:r>
      <w:r w:rsidR="00555714" w:rsidRPr="00555714">
        <w:t>The figure of 645 dwellings per annum can be compared with the hou</w:t>
      </w:r>
      <w:r w:rsidR="00555714">
        <w:t xml:space="preserve">sing target in the Local Plan – </w:t>
      </w:r>
      <w:r w:rsidR="00555714" w:rsidRPr="00555714">
        <w:t xml:space="preserve">this was for 11,520 dwellings over the 18-year period to 2030 (an </w:t>
      </w:r>
      <w:r w:rsidR="00555714">
        <w:t xml:space="preserve">annual average of 640 dwellings </w:t>
      </w:r>
      <w:r w:rsidR="00555714" w:rsidRPr="00555714">
        <w:t xml:space="preserve">per annum, albeit with a stepped trajectory). Given levels of delivery </w:t>
      </w:r>
      <w:r w:rsidR="00555714">
        <w:t xml:space="preserve">since 2012 (i.e. </w:t>
      </w:r>
      <w:r w:rsidR="00EC37AC">
        <w:t xml:space="preserve">there is </w:t>
      </w:r>
      <w:r w:rsidR="00555714">
        <w:t xml:space="preserve">an accumulated </w:t>
      </w:r>
      <w:r w:rsidR="00555714" w:rsidRPr="00555714">
        <w:t>backlog) the average requirement to the end of the plan perio</w:t>
      </w:r>
      <w:r w:rsidR="00555714">
        <w:t xml:space="preserve">d is somewhat higher than the </w:t>
      </w:r>
      <w:r w:rsidR="00555714" w:rsidRPr="00555714">
        <w:t xml:space="preserve">Standard </w:t>
      </w:r>
      <w:r w:rsidR="00E73C8E" w:rsidRPr="00555714">
        <w:t>Method</w:t>
      </w:r>
      <w:r w:rsidR="00E73C8E">
        <w:t>ology</w:t>
      </w:r>
      <w:r w:rsidR="00555714" w:rsidRPr="00555714">
        <w:t xml:space="preserve"> and therefore the current Local Plan would comfort</w:t>
      </w:r>
      <w:r w:rsidR="00555714">
        <w:t xml:space="preserve">ably meet this need. Therefore, </w:t>
      </w:r>
      <w:r w:rsidR="00555714" w:rsidRPr="00555714">
        <w:t>at present the Local Plan target remains reasonable and is certai</w:t>
      </w:r>
      <w:r w:rsidR="00555714">
        <w:t xml:space="preserve">nly not seeking to underprovide </w:t>
      </w:r>
      <w:r w:rsidR="00555714" w:rsidRPr="00555714">
        <w:t>housing.</w:t>
      </w:r>
    </w:p>
    <w:p w14:paraId="0FF78D73" w14:textId="77777777" w:rsidR="00E73C8E" w:rsidRDefault="00E73C8E" w:rsidP="00555714">
      <w:pPr>
        <w:autoSpaceDE w:val="0"/>
        <w:autoSpaceDN w:val="0"/>
        <w:adjustRightInd w:val="0"/>
      </w:pPr>
    </w:p>
    <w:p w14:paraId="26FA2B67" w14:textId="240A806B" w:rsidR="00E73C8E" w:rsidRDefault="005C76A5" w:rsidP="00E73C8E">
      <w:pPr>
        <w:autoSpaceDE w:val="0"/>
        <w:autoSpaceDN w:val="0"/>
        <w:adjustRightInd w:val="0"/>
      </w:pPr>
      <w:r>
        <w:t>2.8</w:t>
      </w:r>
      <w:r>
        <w:tab/>
      </w:r>
      <w:r w:rsidR="00E73C8E" w:rsidRPr="00E73C8E">
        <w:t>Overall, the analysis of housing need based on the Standard Method</w:t>
      </w:r>
      <w:r w:rsidR="00E73C8E">
        <w:t xml:space="preserve">, including an understanding of </w:t>
      </w:r>
      <w:r w:rsidR="00E73C8E" w:rsidRPr="00E73C8E">
        <w:t>how the population profile might develop</w:t>
      </w:r>
      <w:r w:rsidR="00E00313">
        <w:t>,</w:t>
      </w:r>
      <w:r w:rsidR="00E73C8E" w:rsidRPr="00E73C8E">
        <w:t xml:space="preserve"> </w:t>
      </w:r>
      <w:r w:rsidR="00E00313">
        <w:t xml:space="preserve">is consistent with </w:t>
      </w:r>
      <w:r w:rsidR="00526E77">
        <w:t xml:space="preserve">the Council’s adopted housing requirement. </w:t>
      </w:r>
    </w:p>
    <w:p w14:paraId="665FD1DA" w14:textId="77777777" w:rsidR="00E73C8E" w:rsidRDefault="00E73C8E" w:rsidP="00E73C8E">
      <w:pPr>
        <w:autoSpaceDE w:val="0"/>
        <w:autoSpaceDN w:val="0"/>
        <w:adjustRightInd w:val="0"/>
      </w:pPr>
    </w:p>
    <w:p w14:paraId="05028452" w14:textId="77777777" w:rsidR="00E73C8E" w:rsidRPr="00E73C8E" w:rsidRDefault="00E73C8E" w:rsidP="00E73C8E">
      <w:pPr>
        <w:autoSpaceDE w:val="0"/>
        <w:autoSpaceDN w:val="0"/>
        <w:adjustRightInd w:val="0"/>
        <w:rPr>
          <w:u w:val="single"/>
        </w:rPr>
      </w:pPr>
      <w:r w:rsidRPr="00E73C8E">
        <w:rPr>
          <w:u w:val="single"/>
        </w:rPr>
        <w:t>Affordable Housing Need</w:t>
      </w:r>
    </w:p>
    <w:p w14:paraId="4C9AF563" w14:textId="77777777" w:rsidR="00E73C8E" w:rsidRDefault="00E73C8E" w:rsidP="00E73C8E">
      <w:pPr>
        <w:autoSpaceDE w:val="0"/>
        <w:autoSpaceDN w:val="0"/>
        <w:adjustRightInd w:val="0"/>
      </w:pPr>
    </w:p>
    <w:p w14:paraId="6FC4A842" w14:textId="25753CD8" w:rsidR="00EB00AA" w:rsidRDefault="005C76A5" w:rsidP="00EB00AA">
      <w:pPr>
        <w:autoSpaceDE w:val="0"/>
        <w:autoSpaceDN w:val="0"/>
        <w:adjustRightInd w:val="0"/>
      </w:pPr>
      <w:r>
        <w:t>2.9</w:t>
      </w:r>
      <w:r>
        <w:tab/>
      </w:r>
      <w:r w:rsidR="00EB00AA">
        <w:t xml:space="preserve">The SHMA update includes </w:t>
      </w:r>
      <w:r w:rsidR="00EB00AA" w:rsidRPr="00EB00AA">
        <w:t>analysis to estimate the need for affordable</w:t>
      </w:r>
      <w:r w:rsidR="00EB00AA">
        <w:t xml:space="preserve"> housing in the 2017-36 period. </w:t>
      </w:r>
      <w:r w:rsidR="00EB00AA" w:rsidRPr="00EB00AA">
        <w:t>The analysis is split between a ‘traditional’ need (which is main</w:t>
      </w:r>
      <w:r w:rsidR="00EB00AA">
        <w:t xml:space="preserve">ly for social/affordable rented </w:t>
      </w:r>
      <w:r w:rsidR="00EB00AA" w:rsidRPr="00EB00AA">
        <w:t xml:space="preserve">accommodation) and is based on households unable to buy or rent in </w:t>
      </w:r>
      <w:r w:rsidR="00EB00AA">
        <w:t xml:space="preserve">the market and the ‘additional’ </w:t>
      </w:r>
      <w:r w:rsidR="00EB00AA" w:rsidRPr="00EB00AA">
        <w:t>category of need introduced by the revised NPPF/PPG (which inc</w:t>
      </w:r>
      <w:r w:rsidR="00EB00AA">
        <w:t xml:space="preserve">ludes housing for those who can </w:t>
      </w:r>
      <w:r w:rsidR="00EB00AA" w:rsidRPr="00EB00AA">
        <w:t>afford to rent privately but cannot afford to buy a home).</w:t>
      </w:r>
      <w:r w:rsidR="00EB00AA">
        <w:t xml:space="preserve"> </w:t>
      </w:r>
      <w:r w:rsidR="00EB00AA" w:rsidRPr="00EB00AA">
        <w:t>The analysis has taken account of local housing costs (to both buy and rent) along with estimates of household income. Additionally, when looking at traditional n</w:t>
      </w:r>
      <w:r w:rsidR="00EB00AA">
        <w:t xml:space="preserve">eeds, consideration is given to </w:t>
      </w:r>
      <w:r w:rsidR="00EB00AA" w:rsidRPr="00EB00AA">
        <w:t>household projections and estimates of the supply of social/aff</w:t>
      </w:r>
      <w:r w:rsidR="00EB00AA">
        <w:t xml:space="preserve">ordable rented housing. For the </w:t>
      </w:r>
      <w:r w:rsidR="00EB00AA" w:rsidRPr="00EB00AA">
        <w:t xml:space="preserve">additional definition, consideration is given to the size of the private </w:t>
      </w:r>
      <w:r w:rsidR="00EB00AA">
        <w:t xml:space="preserve">rented sector and the potential </w:t>
      </w:r>
      <w:r w:rsidR="00EB00AA" w:rsidRPr="00EB00AA">
        <w:t>supply (from Land Registry data) of cheaper accommodation to buy.</w:t>
      </w:r>
    </w:p>
    <w:p w14:paraId="6677EF40" w14:textId="77777777" w:rsidR="00E26C93" w:rsidRDefault="00E26C93" w:rsidP="00EB00AA">
      <w:pPr>
        <w:autoSpaceDE w:val="0"/>
        <w:autoSpaceDN w:val="0"/>
        <w:adjustRightInd w:val="0"/>
      </w:pPr>
    </w:p>
    <w:p w14:paraId="22224D15" w14:textId="5FFC1AE0" w:rsidR="00A46B0D" w:rsidRDefault="005C76A5" w:rsidP="00E26C93">
      <w:pPr>
        <w:autoSpaceDE w:val="0"/>
        <w:autoSpaceDN w:val="0"/>
        <w:adjustRightInd w:val="0"/>
      </w:pPr>
      <w:r>
        <w:t>2.10</w:t>
      </w:r>
      <w:r>
        <w:tab/>
      </w:r>
      <w:r w:rsidR="00E26C93" w:rsidRPr="00266FEE">
        <w:t xml:space="preserve">The analysis suggests a need for </w:t>
      </w:r>
      <w:r w:rsidR="00E20F77">
        <w:t xml:space="preserve">an additional </w:t>
      </w:r>
      <w:r w:rsidR="00E26C93" w:rsidRPr="00266FEE">
        <w:t xml:space="preserve">391 affordable homes per annum and therefore the Council is justified in </w:t>
      </w:r>
      <w:r w:rsidR="00BE4553" w:rsidRPr="00266FEE">
        <w:t>continuing to seek</w:t>
      </w:r>
      <w:r w:rsidR="00E26C93" w:rsidRPr="00266FEE">
        <w:t xml:space="preserve"> secure affordable housing a</w:t>
      </w:r>
      <w:r w:rsidR="00904F67" w:rsidRPr="00266FEE">
        <w:t>s</w:t>
      </w:r>
      <w:r w:rsidR="00E26C93" w:rsidRPr="00266FEE">
        <w:t xml:space="preserve"> part of new developments. </w:t>
      </w:r>
      <w:r w:rsidR="001A08A8">
        <w:t>This need is for subsidised housing at a cost belo</w:t>
      </w:r>
      <w:r w:rsidR="00A46B0D">
        <w:t xml:space="preserve">w </w:t>
      </w:r>
      <w:r w:rsidR="00E20F77">
        <w:t xml:space="preserve">that </w:t>
      </w:r>
      <w:r w:rsidR="00A46B0D">
        <w:t xml:space="preserve">to access the private rented </w:t>
      </w:r>
      <w:r w:rsidR="001A08A8">
        <w:t xml:space="preserve">sector (i.e. for households unable to access any form of market </w:t>
      </w:r>
      <w:r w:rsidR="001A08A8">
        <w:lastRenderedPageBreak/>
        <w:t xml:space="preserve">housing without some form of subsidy). It would be expected that this housing would primarily be delivered as social/affordable rented housing. </w:t>
      </w:r>
    </w:p>
    <w:p w14:paraId="18F3E883" w14:textId="77777777" w:rsidR="00A46B0D" w:rsidRDefault="00A46B0D" w:rsidP="00E26C93">
      <w:pPr>
        <w:autoSpaceDE w:val="0"/>
        <w:autoSpaceDN w:val="0"/>
        <w:adjustRightInd w:val="0"/>
      </w:pPr>
    </w:p>
    <w:p w14:paraId="602BA0CF" w14:textId="3B080E55" w:rsidR="00530ECD" w:rsidRDefault="005C76A5" w:rsidP="00E26C93">
      <w:pPr>
        <w:autoSpaceDE w:val="0"/>
        <w:autoSpaceDN w:val="0"/>
        <w:adjustRightInd w:val="0"/>
      </w:pPr>
      <w:r>
        <w:t>2.11</w:t>
      </w:r>
      <w:r>
        <w:tab/>
      </w:r>
      <w:r w:rsidR="00E26C93" w:rsidRPr="00266FEE">
        <w:t xml:space="preserve">The estimated level of affordable housing need in this assessment is slightly lower than suggested in the 2014 SHMA (a need for 434 affordable homes per annum). </w:t>
      </w:r>
      <w:r w:rsidR="0099190F" w:rsidRPr="00266FEE">
        <w:t>However</w:t>
      </w:r>
      <w:r w:rsidR="00E26C93" w:rsidRPr="00266FEE">
        <w:t xml:space="preserve">, </w:t>
      </w:r>
      <w:r w:rsidR="0099190F" w:rsidRPr="00266FEE">
        <w:t xml:space="preserve">it is not </w:t>
      </w:r>
      <w:r w:rsidR="00E26C93" w:rsidRPr="00266FEE">
        <w:t xml:space="preserve">considered that this is a substantial change, with both assessments clearly demonstrating a significant need for affordable housing across the Borough. </w:t>
      </w:r>
      <w:r w:rsidR="0099190F" w:rsidRPr="00266FEE">
        <w:t>Furthermore, i</w:t>
      </w:r>
      <w:r w:rsidR="00D26EE0" w:rsidRPr="00266FEE">
        <w:t xml:space="preserve">t </w:t>
      </w:r>
      <w:r w:rsidR="0099190F" w:rsidRPr="00266FEE">
        <w:t>w</w:t>
      </w:r>
      <w:r w:rsidR="00D26EE0" w:rsidRPr="00266FEE">
        <w:t xml:space="preserve">as acknowledged by the Local Plan Inspector that the </w:t>
      </w:r>
      <w:r w:rsidR="00C23397" w:rsidRPr="00266FEE">
        <w:t xml:space="preserve">total affordable housing need is unlikely to be delivered </w:t>
      </w:r>
      <w:r w:rsidR="0099190F" w:rsidRPr="00266FEE">
        <w:t xml:space="preserve">wholly </w:t>
      </w:r>
      <w:r w:rsidR="00C23397" w:rsidRPr="00266FEE">
        <w:t xml:space="preserve">through planning obligations </w:t>
      </w:r>
      <w:r w:rsidR="00266FEE" w:rsidRPr="00266FEE">
        <w:t>and therefore the Council should continue to maximise the amount of affordable housing</w:t>
      </w:r>
      <w:r w:rsidR="00E20F77">
        <w:t xml:space="preserve"> it can</w:t>
      </w:r>
      <w:r w:rsidR="00266FEE" w:rsidRPr="00266FEE">
        <w:t>.</w:t>
      </w:r>
      <w:r w:rsidR="00266FEE">
        <w:t xml:space="preserve"> </w:t>
      </w:r>
    </w:p>
    <w:p w14:paraId="2FA73F12" w14:textId="77777777" w:rsidR="00530ECD" w:rsidRDefault="00530ECD" w:rsidP="00E26C93">
      <w:pPr>
        <w:autoSpaceDE w:val="0"/>
        <w:autoSpaceDN w:val="0"/>
        <w:adjustRightInd w:val="0"/>
      </w:pPr>
    </w:p>
    <w:p w14:paraId="3E2B7107" w14:textId="283C60AE" w:rsidR="00A46B0D" w:rsidRDefault="005C76A5" w:rsidP="00A46B0D">
      <w:pPr>
        <w:autoSpaceDE w:val="0"/>
        <w:autoSpaceDN w:val="0"/>
        <w:adjustRightInd w:val="0"/>
      </w:pPr>
      <w:r>
        <w:t>2.12</w:t>
      </w:r>
      <w:r>
        <w:tab/>
      </w:r>
      <w:r w:rsidR="00A46B0D">
        <w:t>Therefore, the current Local Plan policy of seeking to secure</w:t>
      </w:r>
      <w:r w:rsidR="00A329E4">
        <w:t xml:space="preserve"> 15% of affordable housing on qualifying </w:t>
      </w:r>
      <w:r w:rsidR="00E54322">
        <w:t xml:space="preserve">schemes </w:t>
      </w:r>
      <w:r w:rsidR="00A329E4">
        <w:t>(in Bootle/Netherton</w:t>
      </w:r>
      <w:r w:rsidR="00E54322">
        <w:t>)</w:t>
      </w:r>
      <w:r w:rsidR="00A46B0D">
        <w:t xml:space="preserve"> </w:t>
      </w:r>
      <w:r w:rsidR="00E54322">
        <w:t xml:space="preserve">and </w:t>
      </w:r>
      <w:r w:rsidR="00A46B0D">
        <w:t xml:space="preserve">30% </w:t>
      </w:r>
      <w:r w:rsidR="00E54322">
        <w:t xml:space="preserve">elsewhere </w:t>
      </w:r>
      <w:r w:rsidR="00A46B0D">
        <w:t xml:space="preserve">of housing development in affordable homes remains valid. </w:t>
      </w:r>
    </w:p>
    <w:p w14:paraId="220CC602" w14:textId="340CB598" w:rsidR="00E73C8E" w:rsidRDefault="00E73C8E" w:rsidP="00E73C8E">
      <w:pPr>
        <w:autoSpaceDE w:val="0"/>
        <w:autoSpaceDN w:val="0"/>
        <w:adjustRightInd w:val="0"/>
      </w:pPr>
    </w:p>
    <w:p w14:paraId="5F150DBF" w14:textId="548B6036" w:rsidR="004A5EA5" w:rsidRDefault="005C76A5" w:rsidP="00E73C8E">
      <w:pPr>
        <w:autoSpaceDE w:val="0"/>
        <w:autoSpaceDN w:val="0"/>
        <w:adjustRightInd w:val="0"/>
      </w:pPr>
      <w:r>
        <w:t>2.13</w:t>
      </w:r>
      <w:r>
        <w:tab/>
      </w:r>
      <w:r w:rsidR="00B47D0F">
        <w:t>The SHMA update also looks at the expanded NPPF definition</w:t>
      </w:r>
      <w:r w:rsidR="003B1C78">
        <w:t xml:space="preserve"> of affordable housing to assess households in need of affordable home ownership products. It considers that households falling into this definition would be suitable for Starter Homes, Discounted Market Sales housing</w:t>
      </w:r>
      <w:r w:rsidR="009340B9">
        <w:t xml:space="preserve">, </w:t>
      </w:r>
      <w:r w:rsidR="00A46B0D">
        <w:t>Shared Ownership homes</w:t>
      </w:r>
      <w:r w:rsidR="009340B9">
        <w:t xml:space="preserve"> or similar products</w:t>
      </w:r>
      <w:r w:rsidR="003B1C78">
        <w:t>.</w:t>
      </w:r>
    </w:p>
    <w:p w14:paraId="45BD3C1E" w14:textId="77777777" w:rsidR="00BA1964" w:rsidRDefault="00BA1964" w:rsidP="00E73C8E">
      <w:pPr>
        <w:autoSpaceDE w:val="0"/>
        <w:autoSpaceDN w:val="0"/>
        <w:adjustRightInd w:val="0"/>
      </w:pPr>
    </w:p>
    <w:p w14:paraId="07B81BAD" w14:textId="090CD73D" w:rsidR="00BA1964" w:rsidRDefault="005C76A5" w:rsidP="00BA1964">
      <w:pPr>
        <w:autoSpaceDE w:val="0"/>
        <w:autoSpaceDN w:val="0"/>
        <w:adjustRightInd w:val="0"/>
      </w:pPr>
      <w:r>
        <w:t>2.14</w:t>
      </w:r>
      <w:r>
        <w:tab/>
      </w:r>
      <w:r w:rsidR="00A01468" w:rsidRPr="00A30679">
        <w:t xml:space="preserve">The NPPF states </w:t>
      </w:r>
      <w:r w:rsidR="00BA1964" w:rsidRPr="00A30679">
        <w:t xml:space="preserve">“Where major development involving the provision of housing is </w:t>
      </w:r>
      <w:r w:rsidR="00A30679">
        <w:t>proposed, planning policies and</w:t>
      </w:r>
      <w:r w:rsidR="00421F68">
        <w:t xml:space="preserve"> </w:t>
      </w:r>
      <w:r w:rsidR="00BA1964" w:rsidRPr="00A30679">
        <w:t>decisions should expect at least 10% of the homes to be available</w:t>
      </w:r>
      <w:r w:rsidR="00A30679">
        <w:t xml:space="preserve"> for affordable home ownership, </w:t>
      </w:r>
      <w:r w:rsidR="00BA1964" w:rsidRPr="00A30679">
        <w:t>unless this would exceed the level of affordable housing require</w:t>
      </w:r>
      <w:r w:rsidR="00A30679">
        <w:t xml:space="preserve">d in the area, or significantly </w:t>
      </w:r>
      <w:r w:rsidR="00BA1964" w:rsidRPr="00A30679">
        <w:t xml:space="preserve">prejudice the ability to meet the identified affordable housing needs of specific groups.” </w:t>
      </w:r>
      <w:r w:rsidR="00A30679">
        <w:t xml:space="preserve">(NPPF, para </w:t>
      </w:r>
      <w:r w:rsidR="00BA1964" w:rsidRPr="00A30679">
        <w:t>64).</w:t>
      </w:r>
      <w:r w:rsidR="00A01468" w:rsidRPr="00A30679">
        <w:t xml:space="preserve"> The SHMA update considers the level of need for these types of dwellings in Sefton.</w:t>
      </w:r>
    </w:p>
    <w:p w14:paraId="3D0A67FB" w14:textId="77777777" w:rsidR="006B0CC6" w:rsidRDefault="006B0CC6" w:rsidP="00BA1964">
      <w:pPr>
        <w:autoSpaceDE w:val="0"/>
        <w:autoSpaceDN w:val="0"/>
        <w:adjustRightInd w:val="0"/>
      </w:pPr>
    </w:p>
    <w:p w14:paraId="5343E17F" w14:textId="0021D3E0" w:rsidR="006B0CC6" w:rsidRDefault="005C76A5" w:rsidP="00421F68">
      <w:pPr>
        <w:autoSpaceDE w:val="0"/>
        <w:autoSpaceDN w:val="0"/>
        <w:adjustRightInd w:val="0"/>
      </w:pPr>
      <w:r>
        <w:t>2.15</w:t>
      </w:r>
      <w:r>
        <w:tab/>
      </w:r>
      <w:r w:rsidR="00421F68" w:rsidRPr="00421F68">
        <w:t>The Planning Policy Guidance of July 2018 confirms a widening defin</w:t>
      </w:r>
      <w:r w:rsidR="00421F68">
        <w:t xml:space="preserve">ition of those to be considered </w:t>
      </w:r>
      <w:r w:rsidR="00421F68" w:rsidRPr="00421F68">
        <w:t>as in affordable need; now including ‘households which can affor</w:t>
      </w:r>
      <w:r w:rsidR="00421F68">
        <w:t xml:space="preserve">d to rent in the private rental </w:t>
      </w:r>
      <w:r w:rsidR="00421F68" w:rsidRPr="00421F68">
        <w:t>market, but cannot afford to buy despite a preference for owning their own home’</w:t>
      </w:r>
      <w:r w:rsidR="00421F68">
        <w:t xml:space="preserve">. However, at the </w:t>
      </w:r>
      <w:r w:rsidR="00421F68" w:rsidRPr="00421F68">
        <w:t>time of writing, there is no guidance about how the n</w:t>
      </w:r>
      <w:r w:rsidR="00421F68">
        <w:t xml:space="preserve">umber of such households should </w:t>
      </w:r>
      <w:r w:rsidR="00421F68" w:rsidRPr="00421F68">
        <w:t>be measured.</w:t>
      </w:r>
    </w:p>
    <w:p w14:paraId="6E2EB2C1" w14:textId="77777777" w:rsidR="008A14B0" w:rsidRDefault="008A14B0" w:rsidP="00421F68">
      <w:pPr>
        <w:autoSpaceDE w:val="0"/>
        <w:autoSpaceDN w:val="0"/>
        <w:adjustRightInd w:val="0"/>
      </w:pPr>
    </w:p>
    <w:p w14:paraId="108C8C5A" w14:textId="5299C2DC" w:rsidR="008A14B0" w:rsidRDefault="005C76A5" w:rsidP="00421F68">
      <w:pPr>
        <w:autoSpaceDE w:val="0"/>
        <w:autoSpaceDN w:val="0"/>
        <w:adjustRightInd w:val="0"/>
      </w:pPr>
      <w:r>
        <w:t>2.16</w:t>
      </w:r>
      <w:r>
        <w:tab/>
      </w:r>
      <w:r w:rsidR="00BC160F">
        <w:t xml:space="preserve">The methodology for </w:t>
      </w:r>
      <w:proofErr w:type="gramStart"/>
      <w:r w:rsidR="00BC160F">
        <w:t>making an assessment of</w:t>
      </w:r>
      <w:proofErr w:type="gramEnd"/>
      <w:r w:rsidR="00BC160F">
        <w:t xml:space="preserve"> affordable home ownership in the SHMA update draws on the current method for assessing the need for ‘traditional’ affordable housing but also looks at the ‘gap’ between buying and renting.</w:t>
      </w:r>
      <w:r w:rsidR="003A649E">
        <w:t xml:space="preserve"> The assessment seeks to understand what the gap is between renting and buying in Sefton and establishing the typical incomes that may be required to bridge the gap. </w:t>
      </w:r>
      <w:r w:rsidR="007F7F48">
        <w:t xml:space="preserve">The analysis suggests there is a need for 315 homes to be available per annum for affordable homes ownership. This need is </w:t>
      </w:r>
      <w:r w:rsidR="004E4E7D">
        <w:t>spread unevenly across the borough, with the greatest need in Southport and Crosby, with no identified in Bootle and Netherton.</w:t>
      </w:r>
    </w:p>
    <w:p w14:paraId="7AF12472" w14:textId="77777777" w:rsidR="00421F68" w:rsidRDefault="00421F68" w:rsidP="00421F68">
      <w:pPr>
        <w:autoSpaceDE w:val="0"/>
        <w:autoSpaceDN w:val="0"/>
        <w:adjustRightInd w:val="0"/>
      </w:pPr>
    </w:p>
    <w:p w14:paraId="10101BC2" w14:textId="644DF019" w:rsidR="00421F68" w:rsidRDefault="005C76A5" w:rsidP="00421F68">
      <w:pPr>
        <w:autoSpaceDE w:val="0"/>
        <w:autoSpaceDN w:val="0"/>
        <w:adjustRightInd w:val="0"/>
      </w:pPr>
      <w:r>
        <w:t>2.17</w:t>
      </w:r>
      <w:r>
        <w:tab/>
      </w:r>
      <w:r w:rsidR="00602544" w:rsidRPr="00565AF0">
        <w:t>As with identifying housing need for affordable home ownership, the PPG does no</w:t>
      </w:r>
      <w:r w:rsidR="00565AF0" w:rsidRPr="00565AF0">
        <w:t>t</w:t>
      </w:r>
      <w:r w:rsidR="00602544" w:rsidRPr="00565AF0">
        <w:t xml:space="preserve"> include guidance for </w:t>
      </w:r>
      <w:r w:rsidR="00565AF0" w:rsidRPr="00565AF0">
        <w:t xml:space="preserve">establishing affordable housing supply. </w:t>
      </w:r>
      <w:r w:rsidR="00A7473E" w:rsidRPr="00565AF0">
        <w:t xml:space="preserve">The SHMA update employs two methods of calculating affordable home </w:t>
      </w:r>
      <w:r w:rsidR="00E20F77">
        <w:t xml:space="preserve">ownership </w:t>
      </w:r>
      <w:r w:rsidR="004E4E7D" w:rsidRPr="00565AF0">
        <w:t>supply</w:t>
      </w:r>
      <w:r w:rsidR="00A7473E" w:rsidRPr="00565AF0">
        <w:t xml:space="preserve"> need in lieu of guidance. The first method </w:t>
      </w:r>
      <w:r w:rsidR="00565AF0" w:rsidRPr="00565AF0">
        <w:t>looks at the lower quartile cost of a home to buy in the borough (and sub-areas)</w:t>
      </w:r>
      <w:r w:rsidR="001F70FB" w:rsidRPr="00565AF0">
        <w:t xml:space="preserve">. </w:t>
      </w:r>
      <w:r w:rsidR="00B349E9">
        <w:t xml:space="preserve">This would suggest an annual supply of 1,110 homes for affordable ownership. </w:t>
      </w:r>
      <w:r w:rsidR="000A3A5E" w:rsidRPr="00565AF0">
        <w:t xml:space="preserve">The </w:t>
      </w:r>
      <w:r w:rsidR="00FD7157" w:rsidRPr="00565AF0">
        <w:t>alternative way is to estimate how much housing is available at an equivalent price (in income terms) to accessing the private rented sector.</w:t>
      </w:r>
      <w:r w:rsidR="00FD7157">
        <w:t xml:space="preserve"> </w:t>
      </w:r>
      <w:r w:rsidR="00B349E9">
        <w:t xml:space="preserve"> This would suggest an annual supply of </w:t>
      </w:r>
      <w:r w:rsidR="007049EF">
        <w:t>822</w:t>
      </w:r>
      <w:r w:rsidR="00B349E9">
        <w:t xml:space="preserve"> homes for affordable ownership.</w:t>
      </w:r>
      <w:r w:rsidR="00B52428">
        <w:t xml:space="preserve"> Each approach is valid and indicates a significant notional supply of affordable homes for purchase.</w:t>
      </w:r>
    </w:p>
    <w:p w14:paraId="55059C25" w14:textId="77777777" w:rsidR="00421F68" w:rsidRDefault="00421F68" w:rsidP="00421F68">
      <w:pPr>
        <w:autoSpaceDE w:val="0"/>
        <w:autoSpaceDN w:val="0"/>
        <w:adjustRightInd w:val="0"/>
      </w:pPr>
    </w:p>
    <w:p w14:paraId="534419E5" w14:textId="2851B339" w:rsidR="001F64D3" w:rsidRDefault="005C76A5" w:rsidP="00421F68">
      <w:pPr>
        <w:autoSpaceDE w:val="0"/>
        <w:autoSpaceDN w:val="0"/>
        <w:adjustRightInd w:val="0"/>
      </w:pPr>
      <w:r>
        <w:t>2.18</w:t>
      </w:r>
      <w:r>
        <w:tab/>
      </w:r>
      <w:r w:rsidR="00565AF0">
        <w:t xml:space="preserve">The analysis shows at the borough level a potential supply to meet the need regardless of the supply measure used. </w:t>
      </w:r>
      <w:r w:rsidR="00A179EA">
        <w:t xml:space="preserve">There are exceptions to this with </w:t>
      </w:r>
      <w:r w:rsidR="00B52428">
        <w:t>the second</w:t>
      </w:r>
      <w:r w:rsidR="00A179EA">
        <w:t xml:space="preserve"> approach identifying a </w:t>
      </w:r>
      <w:r w:rsidR="00B52428">
        <w:t xml:space="preserve">current </w:t>
      </w:r>
      <w:r w:rsidR="00A179EA">
        <w:t xml:space="preserve">shortfall in Formby, Maghull and Crosby. </w:t>
      </w:r>
      <w:r w:rsidR="008F59BE">
        <w:t>Notwithstanding a theoretical over</w:t>
      </w:r>
      <w:r w:rsidR="00B52428">
        <w:t>-</w:t>
      </w:r>
      <w:r w:rsidR="008F59BE">
        <w:t>supply of affordable home</w:t>
      </w:r>
      <w:r w:rsidR="00E20F77">
        <w:t>s</w:t>
      </w:r>
      <w:r w:rsidR="008F59BE">
        <w:t xml:space="preserve"> </w:t>
      </w:r>
      <w:r w:rsidR="004B4917">
        <w:t>to purchase</w:t>
      </w:r>
      <w:r w:rsidR="007049EF">
        <w:t>,</w:t>
      </w:r>
      <w:r w:rsidR="008F59BE">
        <w:t xml:space="preserve"> it should be noted that this stock is not necessarily available to those households in need </w:t>
      </w:r>
      <w:r w:rsidR="005D5442">
        <w:t>– i.e. the homes for sale are not restricted to those in housing need and these homes are available to anyone who wishes to purchase them</w:t>
      </w:r>
      <w:r w:rsidR="00E20F77">
        <w:t xml:space="preserve"> on the open market</w:t>
      </w:r>
      <w:r w:rsidR="007049EF">
        <w:t>,</w:t>
      </w:r>
      <w:r w:rsidR="005D5442">
        <w:t xml:space="preserve"> including investment buyers. There may also be issues with the quality of stock at the bottom end of the market. </w:t>
      </w:r>
    </w:p>
    <w:p w14:paraId="0A0A978C" w14:textId="77777777" w:rsidR="00B52428" w:rsidRDefault="00B52428" w:rsidP="00421F68">
      <w:pPr>
        <w:autoSpaceDE w:val="0"/>
        <w:autoSpaceDN w:val="0"/>
        <w:adjustRightInd w:val="0"/>
      </w:pPr>
    </w:p>
    <w:p w14:paraId="76A259F4" w14:textId="77777777" w:rsidR="006B177D" w:rsidRDefault="006B177D" w:rsidP="00421F68">
      <w:pPr>
        <w:autoSpaceDE w:val="0"/>
        <w:autoSpaceDN w:val="0"/>
        <w:adjustRightInd w:val="0"/>
      </w:pPr>
    </w:p>
    <w:tbl>
      <w:tblPr>
        <w:tblStyle w:val="TableGrid"/>
        <w:tblW w:w="0" w:type="auto"/>
        <w:tblLook w:val="04A0" w:firstRow="1" w:lastRow="0" w:firstColumn="1" w:lastColumn="0" w:noHBand="0" w:noVBand="1"/>
      </w:tblPr>
      <w:tblGrid>
        <w:gridCol w:w="1659"/>
        <w:gridCol w:w="1741"/>
        <w:gridCol w:w="1758"/>
        <w:gridCol w:w="2315"/>
        <w:gridCol w:w="1977"/>
      </w:tblGrid>
      <w:tr w:rsidR="00B52428" w:rsidRPr="006B177D" w14:paraId="66319D74" w14:textId="22BD597F" w:rsidTr="00B52428">
        <w:tc>
          <w:tcPr>
            <w:tcW w:w="1659" w:type="dxa"/>
          </w:tcPr>
          <w:p w14:paraId="4D61D7D5" w14:textId="77777777" w:rsidR="00B52428" w:rsidRPr="006B177D" w:rsidRDefault="00B52428" w:rsidP="00421F68">
            <w:pPr>
              <w:autoSpaceDE w:val="0"/>
              <w:autoSpaceDN w:val="0"/>
              <w:adjustRightInd w:val="0"/>
              <w:rPr>
                <w:sz w:val="20"/>
              </w:rPr>
            </w:pPr>
          </w:p>
        </w:tc>
        <w:tc>
          <w:tcPr>
            <w:tcW w:w="1741" w:type="dxa"/>
          </w:tcPr>
          <w:p w14:paraId="3DA1D953" w14:textId="77777777" w:rsidR="00B52428" w:rsidRDefault="00B52428" w:rsidP="006B177D">
            <w:pPr>
              <w:autoSpaceDE w:val="0"/>
              <w:autoSpaceDN w:val="0"/>
              <w:adjustRightInd w:val="0"/>
              <w:jc w:val="center"/>
              <w:rPr>
                <w:sz w:val="18"/>
                <w:szCs w:val="18"/>
              </w:rPr>
            </w:pPr>
            <w:r>
              <w:rPr>
                <w:sz w:val="18"/>
                <w:szCs w:val="18"/>
              </w:rPr>
              <w:t>METHOD 1</w:t>
            </w:r>
          </w:p>
          <w:p w14:paraId="051B21EB" w14:textId="77777777" w:rsidR="00B52428" w:rsidRPr="006B177D" w:rsidRDefault="00B52428" w:rsidP="006B177D">
            <w:pPr>
              <w:autoSpaceDE w:val="0"/>
              <w:autoSpaceDN w:val="0"/>
              <w:adjustRightInd w:val="0"/>
              <w:jc w:val="center"/>
              <w:rPr>
                <w:sz w:val="18"/>
                <w:szCs w:val="18"/>
              </w:rPr>
            </w:pPr>
            <w:r w:rsidRPr="006B177D">
              <w:rPr>
                <w:sz w:val="18"/>
                <w:szCs w:val="18"/>
              </w:rPr>
              <w:t xml:space="preserve">Annual </w:t>
            </w:r>
            <w:r w:rsidRPr="00B52428">
              <w:rPr>
                <w:b/>
                <w:sz w:val="18"/>
                <w:szCs w:val="18"/>
              </w:rPr>
              <w:t>supply</w:t>
            </w:r>
            <w:r w:rsidRPr="006B177D">
              <w:rPr>
                <w:sz w:val="18"/>
                <w:szCs w:val="18"/>
              </w:rPr>
              <w:t xml:space="preserve"> of homes priced below lower quartile</w:t>
            </w:r>
          </w:p>
        </w:tc>
        <w:tc>
          <w:tcPr>
            <w:tcW w:w="1758" w:type="dxa"/>
          </w:tcPr>
          <w:p w14:paraId="7CF0E2E6" w14:textId="77777777" w:rsidR="00B52428" w:rsidRDefault="00B52428" w:rsidP="006B177D">
            <w:pPr>
              <w:autoSpaceDE w:val="0"/>
              <w:autoSpaceDN w:val="0"/>
              <w:adjustRightInd w:val="0"/>
              <w:jc w:val="center"/>
              <w:rPr>
                <w:sz w:val="18"/>
                <w:szCs w:val="18"/>
              </w:rPr>
            </w:pPr>
            <w:r>
              <w:rPr>
                <w:sz w:val="18"/>
                <w:szCs w:val="18"/>
              </w:rPr>
              <w:t>METHOD 2</w:t>
            </w:r>
          </w:p>
          <w:p w14:paraId="403D8A0A" w14:textId="77777777" w:rsidR="00B52428" w:rsidRPr="006B177D" w:rsidRDefault="00B52428" w:rsidP="006B177D">
            <w:pPr>
              <w:autoSpaceDE w:val="0"/>
              <w:autoSpaceDN w:val="0"/>
              <w:adjustRightInd w:val="0"/>
              <w:jc w:val="center"/>
              <w:rPr>
                <w:sz w:val="18"/>
                <w:szCs w:val="18"/>
              </w:rPr>
            </w:pPr>
            <w:r w:rsidRPr="006B177D">
              <w:rPr>
                <w:sz w:val="18"/>
                <w:szCs w:val="18"/>
              </w:rPr>
              <w:t xml:space="preserve">Annual </w:t>
            </w:r>
            <w:r w:rsidRPr="00B52428">
              <w:rPr>
                <w:b/>
                <w:sz w:val="18"/>
                <w:szCs w:val="18"/>
              </w:rPr>
              <w:t>supply</w:t>
            </w:r>
            <w:r w:rsidRPr="006B177D">
              <w:rPr>
                <w:sz w:val="18"/>
                <w:szCs w:val="18"/>
              </w:rPr>
              <w:t xml:space="preserve"> of homes priced an equivalent level to private rented</w:t>
            </w:r>
          </w:p>
        </w:tc>
        <w:tc>
          <w:tcPr>
            <w:tcW w:w="2315" w:type="dxa"/>
          </w:tcPr>
          <w:p w14:paraId="13E57E79" w14:textId="76B210BD" w:rsidR="00B52428" w:rsidRPr="006B177D" w:rsidRDefault="00B52428" w:rsidP="006B177D">
            <w:pPr>
              <w:autoSpaceDE w:val="0"/>
              <w:autoSpaceDN w:val="0"/>
              <w:adjustRightInd w:val="0"/>
              <w:jc w:val="center"/>
              <w:rPr>
                <w:sz w:val="18"/>
                <w:szCs w:val="18"/>
              </w:rPr>
            </w:pPr>
            <w:r w:rsidRPr="006B177D">
              <w:rPr>
                <w:sz w:val="18"/>
                <w:szCs w:val="18"/>
              </w:rPr>
              <w:t xml:space="preserve">Estimated gross (annual) </w:t>
            </w:r>
            <w:r w:rsidRPr="00B52428">
              <w:rPr>
                <w:b/>
                <w:sz w:val="18"/>
                <w:szCs w:val="18"/>
              </w:rPr>
              <w:t>need</w:t>
            </w:r>
            <w:r w:rsidRPr="006B177D">
              <w:rPr>
                <w:sz w:val="18"/>
                <w:szCs w:val="18"/>
              </w:rPr>
              <w:t xml:space="preserve"> for affordable home ownership</w:t>
            </w:r>
          </w:p>
        </w:tc>
        <w:tc>
          <w:tcPr>
            <w:tcW w:w="1977" w:type="dxa"/>
          </w:tcPr>
          <w:p w14:paraId="551F12C9" w14:textId="503B0B12" w:rsidR="00B52428" w:rsidRPr="006B177D" w:rsidRDefault="009220C7" w:rsidP="006B177D">
            <w:pPr>
              <w:autoSpaceDE w:val="0"/>
              <w:autoSpaceDN w:val="0"/>
              <w:adjustRightInd w:val="0"/>
              <w:jc w:val="center"/>
              <w:rPr>
                <w:sz w:val="18"/>
                <w:szCs w:val="18"/>
              </w:rPr>
            </w:pPr>
            <w:r>
              <w:rPr>
                <w:sz w:val="18"/>
                <w:szCs w:val="18"/>
              </w:rPr>
              <w:t>Notional shortfall (-) or over supply (+) or homes available to purchase at an affordable price</w:t>
            </w:r>
          </w:p>
        </w:tc>
      </w:tr>
      <w:tr w:rsidR="00B52428" w:rsidRPr="006B177D" w14:paraId="5EAC4D1C" w14:textId="242084F5" w:rsidTr="00B52428">
        <w:tc>
          <w:tcPr>
            <w:tcW w:w="1659" w:type="dxa"/>
          </w:tcPr>
          <w:p w14:paraId="18725F82" w14:textId="77777777" w:rsidR="00B52428" w:rsidRPr="006B177D" w:rsidRDefault="00B52428" w:rsidP="00421F68">
            <w:pPr>
              <w:autoSpaceDE w:val="0"/>
              <w:autoSpaceDN w:val="0"/>
              <w:adjustRightInd w:val="0"/>
              <w:rPr>
                <w:sz w:val="20"/>
              </w:rPr>
            </w:pPr>
            <w:r w:rsidRPr="006B177D">
              <w:rPr>
                <w:sz w:val="20"/>
              </w:rPr>
              <w:t>Southport</w:t>
            </w:r>
          </w:p>
        </w:tc>
        <w:tc>
          <w:tcPr>
            <w:tcW w:w="1741" w:type="dxa"/>
          </w:tcPr>
          <w:p w14:paraId="76C6B512" w14:textId="77777777" w:rsidR="00B52428" w:rsidRPr="006B177D" w:rsidRDefault="00B52428" w:rsidP="006B177D">
            <w:pPr>
              <w:autoSpaceDE w:val="0"/>
              <w:autoSpaceDN w:val="0"/>
              <w:adjustRightInd w:val="0"/>
              <w:jc w:val="center"/>
              <w:rPr>
                <w:sz w:val="20"/>
              </w:rPr>
            </w:pPr>
            <w:r>
              <w:rPr>
                <w:sz w:val="20"/>
              </w:rPr>
              <w:t>413</w:t>
            </w:r>
          </w:p>
        </w:tc>
        <w:tc>
          <w:tcPr>
            <w:tcW w:w="1758" w:type="dxa"/>
          </w:tcPr>
          <w:p w14:paraId="401D723E" w14:textId="77777777" w:rsidR="00B52428" w:rsidRPr="006B177D" w:rsidRDefault="00B52428" w:rsidP="006B177D">
            <w:pPr>
              <w:autoSpaceDE w:val="0"/>
              <w:autoSpaceDN w:val="0"/>
              <w:adjustRightInd w:val="0"/>
              <w:jc w:val="center"/>
              <w:rPr>
                <w:sz w:val="20"/>
              </w:rPr>
            </w:pPr>
            <w:r>
              <w:rPr>
                <w:sz w:val="20"/>
              </w:rPr>
              <w:t>165</w:t>
            </w:r>
          </w:p>
        </w:tc>
        <w:tc>
          <w:tcPr>
            <w:tcW w:w="2315" w:type="dxa"/>
          </w:tcPr>
          <w:p w14:paraId="44B4945B" w14:textId="77777777" w:rsidR="00B52428" w:rsidRPr="006B177D" w:rsidRDefault="00B52428" w:rsidP="006B177D">
            <w:pPr>
              <w:autoSpaceDE w:val="0"/>
              <w:autoSpaceDN w:val="0"/>
              <w:adjustRightInd w:val="0"/>
              <w:jc w:val="center"/>
              <w:rPr>
                <w:sz w:val="20"/>
              </w:rPr>
            </w:pPr>
            <w:r>
              <w:rPr>
                <w:sz w:val="20"/>
              </w:rPr>
              <w:t>137</w:t>
            </w:r>
          </w:p>
        </w:tc>
        <w:tc>
          <w:tcPr>
            <w:tcW w:w="1977" w:type="dxa"/>
          </w:tcPr>
          <w:p w14:paraId="0E997FFA" w14:textId="233FEA89" w:rsidR="00B52428" w:rsidRDefault="009220C7" w:rsidP="006B177D">
            <w:pPr>
              <w:autoSpaceDE w:val="0"/>
              <w:autoSpaceDN w:val="0"/>
              <w:adjustRightInd w:val="0"/>
              <w:jc w:val="center"/>
              <w:rPr>
                <w:sz w:val="20"/>
              </w:rPr>
            </w:pPr>
            <w:r>
              <w:rPr>
                <w:sz w:val="20"/>
              </w:rPr>
              <w:t>+276 or +28</w:t>
            </w:r>
          </w:p>
        </w:tc>
      </w:tr>
      <w:tr w:rsidR="00B52428" w:rsidRPr="006B177D" w14:paraId="1DF06B8F" w14:textId="31CF4C8C" w:rsidTr="00B52428">
        <w:tc>
          <w:tcPr>
            <w:tcW w:w="1659" w:type="dxa"/>
          </w:tcPr>
          <w:p w14:paraId="13171426" w14:textId="77777777" w:rsidR="00B52428" w:rsidRPr="006B177D" w:rsidRDefault="00B52428" w:rsidP="00421F68">
            <w:pPr>
              <w:autoSpaceDE w:val="0"/>
              <w:autoSpaceDN w:val="0"/>
              <w:adjustRightInd w:val="0"/>
              <w:rPr>
                <w:sz w:val="20"/>
              </w:rPr>
            </w:pPr>
            <w:r w:rsidRPr="006B177D">
              <w:rPr>
                <w:sz w:val="20"/>
              </w:rPr>
              <w:t>Formby</w:t>
            </w:r>
          </w:p>
        </w:tc>
        <w:tc>
          <w:tcPr>
            <w:tcW w:w="1741" w:type="dxa"/>
          </w:tcPr>
          <w:p w14:paraId="776CBBA3" w14:textId="77777777" w:rsidR="00B52428" w:rsidRPr="006B177D" w:rsidRDefault="00B52428" w:rsidP="006B177D">
            <w:pPr>
              <w:autoSpaceDE w:val="0"/>
              <w:autoSpaceDN w:val="0"/>
              <w:adjustRightInd w:val="0"/>
              <w:jc w:val="center"/>
              <w:rPr>
                <w:sz w:val="20"/>
              </w:rPr>
            </w:pPr>
            <w:r>
              <w:rPr>
                <w:sz w:val="20"/>
              </w:rPr>
              <w:t>92</w:t>
            </w:r>
          </w:p>
        </w:tc>
        <w:tc>
          <w:tcPr>
            <w:tcW w:w="1758" w:type="dxa"/>
          </w:tcPr>
          <w:p w14:paraId="21674125" w14:textId="77777777" w:rsidR="00B52428" w:rsidRPr="006B177D" w:rsidRDefault="00B52428" w:rsidP="006B177D">
            <w:pPr>
              <w:autoSpaceDE w:val="0"/>
              <w:autoSpaceDN w:val="0"/>
              <w:adjustRightInd w:val="0"/>
              <w:jc w:val="center"/>
              <w:rPr>
                <w:sz w:val="20"/>
              </w:rPr>
            </w:pPr>
            <w:r>
              <w:rPr>
                <w:sz w:val="20"/>
              </w:rPr>
              <w:t>17</w:t>
            </w:r>
          </w:p>
        </w:tc>
        <w:tc>
          <w:tcPr>
            <w:tcW w:w="2315" w:type="dxa"/>
          </w:tcPr>
          <w:p w14:paraId="113AF5B2" w14:textId="77777777" w:rsidR="00B52428" w:rsidRPr="006B177D" w:rsidRDefault="00B52428" w:rsidP="006B177D">
            <w:pPr>
              <w:autoSpaceDE w:val="0"/>
              <w:autoSpaceDN w:val="0"/>
              <w:adjustRightInd w:val="0"/>
              <w:jc w:val="center"/>
              <w:rPr>
                <w:sz w:val="20"/>
              </w:rPr>
            </w:pPr>
            <w:r>
              <w:rPr>
                <w:sz w:val="20"/>
              </w:rPr>
              <w:t>42</w:t>
            </w:r>
          </w:p>
        </w:tc>
        <w:tc>
          <w:tcPr>
            <w:tcW w:w="1977" w:type="dxa"/>
          </w:tcPr>
          <w:p w14:paraId="78B86F92" w14:textId="4A377DD8" w:rsidR="00B52428" w:rsidRDefault="009220C7" w:rsidP="006B177D">
            <w:pPr>
              <w:autoSpaceDE w:val="0"/>
              <w:autoSpaceDN w:val="0"/>
              <w:adjustRightInd w:val="0"/>
              <w:jc w:val="center"/>
              <w:rPr>
                <w:sz w:val="20"/>
              </w:rPr>
            </w:pPr>
            <w:r>
              <w:rPr>
                <w:sz w:val="20"/>
              </w:rPr>
              <w:t>+50 or -25</w:t>
            </w:r>
          </w:p>
        </w:tc>
      </w:tr>
      <w:tr w:rsidR="00B52428" w:rsidRPr="006B177D" w14:paraId="163AA755" w14:textId="569D36A3" w:rsidTr="00B52428">
        <w:tc>
          <w:tcPr>
            <w:tcW w:w="1659" w:type="dxa"/>
          </w:tcPr>
          <w:p w14:paraId="2B5B01C6" w14:textId="77777777" w:rsidR="00B52428" w:rsidRPr="006B177D" w:rsidRDefault="00B52428" w:rsidP="00421F68">
            <w:pPr>
              <w:autoSpaceDE w:val="0"/>
              <w:autoSpaceDN w:val="0"/>
              <w:adjustRightInd w:val="0"/>
              <w:rPr>
                <w:sz w:val="20"/>
              </w:rPr>
            </w:pPr>
            <w:r w:rsidRPr="006B177D">
              <w:rPr>
                <w:sz w:val="20"/>
              </w:rPr>
              <w:t>Maghull/Aintree</w:t>
            </w:r>
          </w:p>
        </w:tc>
        <w:tc>
          <w:tcPr>
            <w:tcW w:w="1741" w:type="dxa"/>
          </w:tcPr>
          <w:p w14:paraId="5D5FE4F1" w14:textId="77777777" w:rsidR="00B52428" w:rsidRPr="006B177D" w:rsidRDefault="00B52428" w:rsidP="006B177D">
            <w:pPr>
              <w:autoSpaceDE w:val="0"/>
              <w:autoSpaceDN w:val="0"/>
              <w:adjustRightInd w:val="0"/>
              <w:jc w:val="center"/>
              <w:rPr>
                <w:sz w:val="20"/>
              </w:rPr>
            </w:pPr>
            <w:r>
              <w:rPr>
                <w:sz w:val="20"/>
              </w:rPr>
              <w:t>146</w:t>
            </w:r>
          </w:p>
        </w:tc>
        <w:tc>
          <w:tcPr>
            <w:tcW w:w="1758" w:type="dxa"/>
          </w:tcPr>
          <w:p w14:paraId="42DECD7D" w14:textId="77777777" w:rsidR="00B52428" w:rsidRPr="006B177D" w:rsidRDefault="00B52428" w:rsidP="006B177D">
            <w:pPr>
              <w:autoSpaceDE w:val="0"/>
              <w:autoSpaceDN w:val="0"/>
              <w:adjustRightInd w:val="0"/>
              <w:jc w:val="center"/>
              <w:rPr>
                <w:sz w:val="20"/>
              </w:rPr>
            </w:pPr>
            <w:r>
              <w:rPr>
                <w:sz w:val="20"/>
              </w:rPr>
              <w:t>21</w:t>
            </w:r>
          </w:p>
        </w:tc>
        <w:tc>
          <w:tcPr>
            <w:tcW w:w="2315" w:type="dxa"/>
          </w:tcPr>
          <w:p w14:paraId="787E0960" w14:textId="77777777" w:rsidR="00B52428" w:rsidRPr="006B177D" w:rsidRDefault="00B52428" w:rsidP="006B177D">
            <w:pPr>
              <w:autoSpaceDE w:val="0"/>
              <w:autoSpaceDN w:val="0"/>
              <w:adjustRightInd w:val="0"/>
              <w:jc w:val="center"/>
              <w:rPr>
                <w:sz w:val="20"/>
              </w:rPr>
            </w:pPr>
            <w:r>
              <w:rPr>
                <w:sz w:val="20"/>
              </w:rPr>
              <w:t>50</w:t>
            </w:r>
          </w:p>
        </w:tc>
        <w:tc>
          <w:tcPr>
            <w:tcW w:w="1977" w:type="dxa"/>
          </w:tcPr>
          <w:p w14:paraId="6845FC21" w14:textId="58589283" w:rsidR="00B52428" w:rsidRDefault="009220C7" w:rsidP="006B177D">
            <w:pPr>
              <w:autoSpaceDE w:val="0"/>
              <w:autoSpaceDN w:val="0"/>
              <w:adjustRightInd w:val="0"/>
              <w:jc w:val="center"/>
              <w:rPr>
                <w:sz w:val="20"/>
              </w:rPr>
            </w:pPr>
            <w:r>
              <w:rPr>
                <w:sz w:val="20"/>
              </w:rPr>
              <w:t>+96 or -29</w:t>
            </w:r>
          </w:p>
        </w:tc>
      </w:tr>
      <w:tr w:rsidR="00B52428" w:rsidRPr="006B177D" w14:paraId="095279D4" w14:textId="5FE673EC" w:rsidTr="00B52428">
        <w:tc>
          <w:tcPr>
            <w:tcW w:w="1659" w:type="dxa"/>
          </w:tcPr>
          <w:p w14:paraId="63321A4E" w14:textId="77777777" w:rsidR="00B52428" w:rsidRPr="006B177D" w:rsidRDefault="00B52428" w:rsidP="00421F68">
            <w:pPr>
              <w:autoSpaceDE w:val="0"/>
              <w:autoSpaceDN w:val="0"/>
              <w:adjustRightInd w:val="0"/>
              <w:rPr>
                <w:sz w:val="20"/>
              </w:rPr>
            </w:pPr>
            <w:r w:rsidRPr="006B177D">
              <w:rPr>
                <w:sz w:val="20"/>
              </w:rPr>
              <w:t>Crosby</w:t>
            </w:r>
          </w:p>
        </w:tc>
        <w:tc>
          <w:tcPr>
            <w:tcW w:w="1741" w:type="dxa"/>
          </w:tcPr>
          <w:p w14:paraId="1428058B" w14:textId="77777777" w:rsidR="00B52428" w:rsidRPr="006B177D" w:rsidRDefault="00B52428" w:rsidP="006B177D">
            <w:pPr>
              <w:autoSpaceDE w:val="0"/>
              <w:autoSpaceDN w:val="0"/>
              <w:adjustRightInd w:val="0"/>
              <w:jc w:val="center"/>
              <w:rPr>
                <w:sz w:val="20"/>
              </w:rPr>
            </w:pPr>
            <w:r>
              <w:rPr>
                <w:sz w:val="20"/>
              </w:rPr>
              <w:t>200</w:t>
            </w:r>
          </w:p>
        </w:tc>
        <w:tc>
          <w:tcPr>
            <w:tcW w:w="1758" w:type="dxa"/>
          </w:tcPr>
          <w:p w14:paraId="5E696BDA" w14:textId="77777777" w:rsidR="00B52428" w:rsidRPr="006B177D" w:rsidRDefault="00B52428" w:rsidP="006B177D">
            <w:pPr>
              <w:autoSpaceDE w:val="0"/>
              <w:autoSpaceDN w:val="0"/>
              <w:adjustRightInd w:val="0"/>
              <w:jc w:val="center"/>
              <w:rPr>
                <w:sz w:val="20"/>
              </w:rPr>
            </w:pPr>
            <w:r>
              <w:rPr>
                <w:sz w:val="20"/>
              </w:rPr>
              <w:t>58</w:t>
            </w:r>
          </w:p>
        </w:tc>
        <w:tc>
          <w:tcPr>
            <w:tcW w:w="2315" w:type="dxa"/>
          </w:tcPr>
          <w:p w14:paraId="0D5B798B" w14:textId="77777777" w:rsidR="00B52428" w:rsidRPr="006B177D" w:rsidRDefault="00B52428" w:rsidP="006B177D">
            <w:pPr>
              <w:autoSpaceDE w:val="0"/>
              <w:autoSpaceDN w:val="0"/>
              <w:adjustRightInd w:val="0"/>
              <w:jc w:val="center"/>
              <w:rPr>
                <w:sz w:val="20"/>
              </w:rPr>
            </w:pPr>
            <w:r>
              <w:rPr>
                <w:sz w:val="20"/>
              </w:rPr>
              <w:t>87</w:t>
            </w:r>
          </w:p>
        </w:tc>
        <w:tc>
          <w:tcPr>
            <w:tcW w:w="1977" w:type="dxa"/>
          </w:tcPr>
          <w:p w14:paraId="26FA2131" w14:textId="20372F33" w:rsidR="00B52428" w:rsidRDefault="009220C7" w:rsidP="006B177D">
            <w:pPr>
              <w:autoSpaceDE w:val="0"/>
              <w:autoSpaceDN w:val="0"/>
              <w:adjustRightInd w:val="0"/>
              <w:jc w:val="center"/>
              <w:rPr>
                <w:sz w:val="20"/>
              </w:rPr>
            </w:pPr>
            <w:r>
              <w:rPr>
                <w:sz w:val="20"/>
              </w:rPr>
              <w:t>+113 or -29</w:t>
            </w:r>
          </w:p>
        </w:tc>
      </w:tr>
      <w:tr w:rsidR="00B52428" w:rsidRPr="006B177D" w14:paraId="5BF78974" w14:textId="64D82353" w:rsidTr="00B52428">
        <w:tc>
          <w:tcPr>
            <w:tcW w:w="1659" w:type="dxa"/>
          </w:tcPr>
          <w:p w14:paraId="3C187390" w14:textId="77777777" w:rsidR="00B52428" w:rsidRPr="006B177D" w:rsidRDefault="00B52428" w:rsidP="00421F68">
            <w:pPr>
              <w:autoSpaceDE w:val="0"/>
              <w:autoSpaceDN w:val="0"/>
              <w:adjustRightInd w:val="0"/>
              <w:rPr>
                <w:sz w:val="20"/>
              </w:rPr>
            </w:pPr>
            <w:r w:rsidRPr="006B177D">
              <w:rPr>
                <w:sz w:val="20"/>
              </w:rPr>
              <w:t>Bootle</w:t>
            </w:r>
          </w:p>
        </w:tc>
        <w:tc>
          <w:tcPr>
            <w:tcW w:w="1741" w:type="dxa"/>
          </w:tcPr>
          <w:p w14:paraId="111621F9" w14:textId="77777777" w:rsidR="00B52428" w:rsidRPr="006B177D" w:rsidRDefault="00B52428" w:rsidP="006B177D">
            <w:pPr>
              <w:autoSpaceDE w:val="0"/>
              <w:autoSpaceDN w:val="0"/>
              <w:adjustRightInd w:val="0"/>
              <w:jc w:val="center"/>
              <w:rPr>
                <w:sz w:val="20"/>
              </w:rPr>
            </w:pPr>
            <w:r>
              <w:rPr>
                <w:sz w:val="20"/>
              </w:rPr>
              <w:t>161</w:t>
            </w:r>
          </w:p>
        </w:tc>
        <w:tc>
          <w:tcPr>
            <w:tcW w:w="1758" w:type="dxa"/>
          </w:tcPr>
          <w:p w14:paraId="19220BF3" w14:textId="77777777" w:rsidR="00B52428" w:rsidRPr="006B177D" w:rsidRDefault="00B52428" w:rsidP="006B177D">
            <w:pPr>
              <w:autoSpaceDE w:val="0"/>
              <w:autoSpaceDN w:val="0"/>
              <w:adjustRightInd w:val="0"/>
              <w:jc w:val="center"/>
              <w:rPr>
                <w:sz w:val="20"/>
              </w:rPr>
            </w:pPr>
            <w:r>
              <w:rPr>
                <w:sz w:val="20"/>
              </w:rPr>
              <w:t>431</w:t>
            </w:r>
          </w:p>
        </w:tc>
        <w:tc>
          <w:tcPr>
            <w:tcW w:w="2315" w:type="dxa"/>
          </w:tcPr>
          <w:p w14:paraId="4A312F7C" w14:textId="77777777" w:rsidR="00B52428" w:rsidRPr="006B177D" w:rsidRDefault="00B52428" w:rsidP="006B177D">
            <w:pPr>
              <w:autoSpaceDE w:val="0"/>
              <w:autoSpaceDN w:val="0"/>
              <w:adjustRightInd w:val="0"/>
              <w:jc w:val="center"/>
              <w:rPr>
                <w:sz w:val="20"/>
              </w:rPr>
            </w:pPr>
            <w:r>
              <w:rPr>
                <w:sz w:val="20"/>
              </w:rPr>
              <w:t>0</w:t>
            </w:r>
          </w:p>
        </w:tc>
        <w:tc>
          <w:tcPr>
            <w:tcW w:w="1977" w:type="dxa"/>
          </w:tcPr>
          <w:p w14:paraId="52D00EC7" w14:textId="71C3E620" w:rsidR="00B52428" w:rsidRDefault="009220C7" w:rsidP="006B177D">
            <w:pPr>
              <w:autoSpaceDE w:val="0"/>
              <w:autoSpaceDN w:val="0"/>
              <w:adjustRightInd w:val="0"/>
              <w:jc w:val="center"/>
              <w:rPr>
                <w:sz w:val="20"/>
              </w:rPr>
            </w:pPr>
            <w:r>
              <w:rPr>
                <w:sz w:val="20"/>
              </w:rPr>
              <w:t xml:space="preserve">+161 or </w:t>
            </w:r>
            <w:r w:rsidR="00B508CB">
              <w:rPr>
                <w:sz w:val="20"/>
              </w:rPr>
              <w:t>+431</w:t>
            </w:r>
          </w:p>
        </w:tc>
      </w:tr>
      <w:tr w:rsidR="00B52428" w:rsidRPr="006B177D" w14:paraId="40844DB5" w14:textId="12D3CA27" w:rsidTr="00B52428">
        <w:tc>
          <w:tcPr>
            <w:tcW w:w="1659" w:type="dxa"/>
          </w:tcPr>
          <w:p w14:paraId="42610613" w14:textId="77777777" w:rsidR="00B52428" w:rsidRPr="006B177D" w:rsidRDefault="00B52428" w:rsidP="00421F68">
            <w:pPr>
              <w:autoSpaceDE w:val="0"/>
              <w:autoSpaceDN w:val="0"/>
              <w:adjustRightInd w:val="0"/>
              <w:rPr>
                <w:sz w:val="20"/>
              </w:rPr>
            </w:pPr>
            <w:r w:rsidRPr="006B177D">
              <w:rPr>
                <w:sz w:val="20"/>
              </w:rPr>
              <w:t>Netherton</w:t>
            </w:r>
          </w:p>
        </w:tc>
        <w:tc>
          <w:tcPr>
            <w:tcW w:w="1741" w:type="dxa"/>
          </w:tcPr>
          <w:p w14:paraId="1F32E610" w14:textId="77777777" w:rsidR="00B52428" w:rsidRPr="006B177D" w:rsidRDefault="00B52428" w:rsidP="006B177D">
            <w:pPr>
              <w:autoSpaceDE w:val="0"/>
              <w:autoSpaceDN w:val="0"/>
              <w:adjustRightInd w:val="0"/>
              <w:jc w:val="center"/>
              <w:rPr>
                <w:sz w:val="20"/>
              </w:rPr>
            </w:pPr>
            <w:r>
              <w:rPr>
                <w:sz w:val="20"/>
              </w:rPr>
              <w:t>98</w:t>
            </w:r>
          </w:p>
        </w:tc>
        <w:tc>
          <w:tcPr>
            <w:tcW w:w="1758" w:type="dxa"/>
          </w:tcPr>
          <w:p w14:paraId="7EB0C182" w14:textId="77777777" w:rsidR="00B52428" w:rsidRPr="006B177D" w:rsidRDefault="00B52428" w:rsidP="006B177D">
            <w:pPr>
              <w:autoSpaceDE w:val="0"/>
              <w:autoSpaceDN w:val="0"/>
              <w:adjustRightInd w:val="0"/>
              <w:jc w:val="center"/>
              <w:rPr>
                <w:sz w:val="20"/>
              </w:rPr>
            </w:pPr>
            <w:r>
              <w:rPr>
                <w:sz w:val="20"/>
              </w:rPr>
              <w:t>130</w:t>
            </w:r>
          </w:p>
        </w:tc>
        <w:tc>
          <w:tcPr>
            <w:tcW w:w="2315" w:type="dxa"/>
          </w:tcPr>
          <w:p w14:paraId="5DFCA64A" w14:textId="77777777" w:rsidR="00B52428" w:rsidRPr="006B177D" w:rsidRDefault="00B52428" w:rsidP="006B177D">
            <w:pPr>
              <w:autoSpaceDE w:val="0"/>
              <w:autoSpaceDN w:val="0"/>
              <w:adjustRightInd w:val="0"/>
              <w:jc w:val="center"/>
              <w:rPr>
                <w:sz w:val="20"/>
              </w:rPr>
            </w:pPr>
            <w:r>
              <w:rPr>
                <w:sz w:val="20"/>
              </w:rPr>
              <w:t>0</w:t>
            </w:r>
          </w:p>
        </w:tc>
        <w:tc>
          <w:tcPr>
            <w:tcW w:w="1977" w:type="dxa"/>
          </w:tcPr>
          <w:p w14:paraId="61FEF62F" w14:textId="1F0366CE" w:rsidR="00B52428" w:rsidRDefault="00B508CB" w:rsidP="006B177D">
            <w:pPr>
              <w:autoSpaceDE w:val="0"/>
              <w:autoSpaceDN w:val="0"/>
              <w:adjustRightInd w:val="0"/>
              <w:jc w:val="center"/>
              <w:rPr>
                <w:sz w:val="20"/>
              </w:rPr>
            </w:pPr>
            <w:r>
              <w:rPr>
                <w:sz w:val="20"/>
              </w:rPr>
              <w:t>+98 or +130</w:t>
            </w:r>
          </w:p>
        </w:tc>
      </w:tr>
      <w:tr w:rsidR="00B52428" w:rsidRPr="006B177D" w14:paraId="607C2790" w14:textId="0D3755E0" w:rsidTr="00B52428">
        <w:tc>
          <w:tcPr>
            <w:tcW w:w="1659" w:type="dxa"/>
            <w:shd w:val="clear" w:color="auto" w:fill="EEECE1" w:themeFill="background2"/>
          </w:tcPr>
          <w:p w14:paraId="2EA5F704" w14:textId="77777777" w:rsidR="00B52428" w:rsidRPr="006B177D" w:rsidRDefault="00B52428" w:rsidP="00421F68">
            <w:pPr>
              <w:autoSpaceDE w:val="0"/>
              <w:autoSpaceDN w:val="0"/>
              <w:adjustRightInd w:val="0"/>
              <w:rPr>
                <w:b/>
                <w:sz w:val="20"/>
              </w:rPr>
            </w:pPr>
            <w:r w:rsidRPr="006B177D">
              <w:rPr>
                <w:b/>
                <w:sz w:val="20"/>
              </w:rPr>
              <w:t>Total</w:t>
            </w:r>
          </w:p>
        </w:tc>
        <w:tc>
          <w:tcPr>
            <w:tcW w:w="1741" w:type="dxa"/>
            <w:shd w:val="clear" w:color="auto" w:fill="EEECE1" w:themeFill="background2"/>
          </w:tcPr>
          <w:p w14:paraId="30021B43" w14:textId="77777777" w:rsidR="00B52428" w:rsidRPr="006B177D" w:rsidRDefault="00B52428" w:rsidP="006B177D">
            <w:pPr>
              <w:autoSpaceDE w:val="0"/>
              <w:autoSpaceDN w:val="0"/>
              <w:adjustRightInd w:val="0"/>
              <w:jc w:val="center"/>
              <w:rPr>
                <w:b/>
                <w:sz w:val="20"/>
              </w:rPr>
            </w:pPr>
            <w:r w:rsidRPr="006B177D">
              <w:rPr>
                <w:b/>
                <w:sz w:val="20"/>
              </w:rPr>
              <w:t>1,110</w:t>
            </w:r>
          </w:p>
        </w:tc>
        <w:tc>
          <w:tcPr>
            <w:tcW w:w="1758" w:type="dxa"/>
            <w:shd w:val="clear" w:color="auto" w:fill="EEECE1" w:themeFill="background2"/>
          </w:tcPr>
          <w:p w14:paraId="5BDCA5C4" w14:textId="77777777" w:rsidR="00B52428" w:rsidRPr="006B177D" w:rsidRDefault="00B52428" w:rsidP="006B177D">
            <w:pPr>
              <w:autoSpaceDE w:val="0"/>
              <w:autoSpaceDN w:val="0"/>
              <w:adjustRightInd w:val="0"/>
              <w:jc w:val="center"/>
              <w:rPr>
                <w:b/>
                <w:sz w:val="20"/>
              </w:rPr>
            </w:pPr>
            <w:r w:rsidRPr="006B177D">
              <w:rPr>
                <w:b/>
                <w:sz w:val="20"/>
              </w:rPr>
              <w:t>822</w:t>
            </w:r>
          </w:p>
        </w:tc>
        <w:tc>
          <w:tcPr>
            <w:tcW w:w="2315" w:type="dxa"/>
            <w:shd w:val="clear" w:color="auto" w:fill="EEECE1" w:themeFill="background2"/>
          </w:tcPr>
          <w:p w14:paraId="3AD03488" w14:textId="77777777" w:rsidR="00B52428" w:rsidRPr="006B177D" w:rsidRDefault="00B52428" w:rsidP="006B177D">
            <w:pPr>
              <w:autoSpaceDE w:val="0"/>
              <w:autoSpaceDN w:val="0"/>
              <w:adjustRightInd w:val="0"/>
              <w:jc w:val="center"/>
              <w:rPr>
                <w:b/>
                <w:sz w:val="20"/>
              </w:rPr>
            </w:pPr>
            <w:r w:rsidRPr="006B177D">
              <w:rPr>
                <w:b/>
                <w:sz w:val="20"/>
              </w:rPr>
              <w:t>315</w:t>
            </w:r>
          </w:p>
        </w:tc>
        <w:tc>
          <w:tcPr>
            <w:tcW w:w="1977" w:type="dxa"/>
            <w:shd w:val="clear" w:color="auto" w:fill="EEECE1" w:themeFill="background2"/>
          </w:tcPr>
          <w:p w14:paraId="1EE61BF6" w14:textId="72812E83" w:rsidR="00B52428" w:rsidRPr="006B177D" w:rsidRDefault="00B508CB" w:rsidP="006B177D">
            <w:pPr>
              <w:autoSpaceDE w:val="0"/>
              <w:autoSpaceDN w:val="0"/>
              <w:adjustRightInd w:val="0"/>
              <w:jc w:val="center"/>
              <w:rPr>
                <w:b/>
                <w:sz w:val="20"/>
              </w:rPr>
            </w:pPr>
            <w:r>
              <w:rPr>
                <w:b/>
                <w:sz w:val="20"/>
              </w:rPr>
              <w:t>+795 or +507</w:t>
            </w:r>
          </w:p>
        </w:tc>
      </w:tr>
    </w:tbl>
    <w:p w14:paraId="16069735" w14:textId="77777777" w:rsidR="006B177D" w:rsidRDefault="006B177D" w:rsidP="00421F68">
      <w:pPr>
        <w:autoSpaceDE w:val="0"/>
        <w:autoSpaceDN w:val="0"/>
        <w:adjustRightInd w:val="0"/>
      </w:pPr>
    </w:p>
    <w:p w14:paraId="15E38235" w14:textId="77777777" w:rsidR="001F64D3" w:rsidRDefault="001F64D3" w:rsidP="00421F68">
      <w:pPr>
        <w:autoSpaceDE w:val="0"/>
        <w:autoSpaceDN w:val="0"/>
        <w:adjustRightInd w:val="0"/>
      </w:pPr>
    </w:p>
    <w:p w14:paraId="5406D656" w14:textId="2CE19501" w:rsidR="00E20F77" w:rsidRDefault="005C76A5" w:rsidP="00421F68">
      <w:pPr>
        <w:autoSpaceDE w:val="0"/>
        <w:autoSpaceDN w:val="0"/>
        <w:adjustRightInd w:val="0"/>
      </w:pPr>
      <w:r>
        <w:t>2.19</w:t>
      </w:r>
      <w:r>
        <w:tab/>
      </w:r>
      <w:r w:rsidR="005D5442">
        <w:t>So</w:t>
      </w:r>
      <w:r w:rsidR="001F64D3">
        <w:t>,</w:t>
      </w:r>
      <w:r w:rsidR="005D5442">
        <w:t xml:space="preserve"> while there may seem to be </w:t>
      </w:r>
      <w:r w:rsidR="00E20F77">
        <w:t>a sufficient</w:t>
      </w:r>
      <w:r w:rsidR="005D5442">
        <w:t xml:space="preserve"> </w:t>
      </w:r>
      <w:r w:rsidR="00E20F77">
        <w:t xml:space="preserve">supply of </w:t>
      </w:r>
      <w:r w:rsidR="005D5442">
        <w:t xml:space="preserve">homes to purchase at an affordable </w:t>
      </w:r>
      <w:r w:rsidR="00E20F77">
        <w:t>price</w:t>
      </w:r>
      <w:r w:rsidR="005D5442">
        <w:t xml:space="preserve"> across the borough </w:t>
      </w:r>
      <w:r w:rsidR="0033156A">
        <w:t xml:space="preserve">(a range of between 507 to 795) </w:t>
      </w:r>
      <w:r w:rsidR="005D5442">
        <w:t xml:space="preserve">there </w:t>
      </w:r>
      <w:r w:rsidR="00E20F77">
        <w:t>are</w:t>
      </w:r>
      <w:r w:rsidR="005D5442">
        <w:t xml:space="preserve"> likely to be residents who are unable to access </w:t>
      </w:r>
      <w:r w:rsidR="00E20F77">
        <w:t xml:space="preserve">the necessary </w:t>
      </w:r>
      <w:r w:rsidR="005D5442">
        <w:t xml:space="preserve">capital to purchase a home or face competition from </w:t>
      </w:r>
      <w:r w:rsidR="007049EF">
        <w:t xml:space="preserve">other residents and/or </w:t>
      </w:r>
      <w:r w:rsidR="005D5442">
        <w:t>investors.</w:t>
      </w:r>
      <w:r w:rsidR="001F64D3">
        <w:t xml:space="preserve"> </w:t>
      </w:r>
      <w:r w:rsidR="00E20F77">
        <w:t xml:space="preserve">Therefore, it is considered reasonable to </w:t>
      </w:r>
      <w:r w:rsidR="00D63474">
        <w:t xml:space="preserve">attempt to </w:t>
      </w:r>
      <w:r w:rsidR="00E20F77">
        <w:t>secure home ownerships homes, in line with NPPF, as part of the package of affordable homes.</w:t>
      </w:r>
    </w:p>
    <w:p w14:paraId="25598C18" w14:textId="77777777" w:rsidR="00E20F77" w:rsidRDefault="00E20F77" w:rsidP="00421F68">
      <w:pPr>
        <w:autoSpaceDE w:val="0"/>
        <w:autoSpaceDN w:val="0"/>
        <w:adjustRightInd w:val="0"/>
      </w:pPr>
    </w:p>
    <w:p w14:paraId="776028F1" w14:textId="31B0F86E" w:rsidR="00421F68" w:rsidRDefault="005C76A5" w:rsidP="00421F68">
      <w:pPr>
        <w:autoSpaceDE w:val="0"/>
        <w:autoSpaceDN w:val="0"/>
        <w:adjustRightInd w:val="0"/>
      </w:pPr>
      <w:r>
        <w:t>2.20</w:t>
      </w:r>
      <w:r>
        <w:tab/>
      </w:r>
      <w:r w:rsidR="001F64D3">
        <w:t xml:space="preserve">Given the nature of the likely demand for affordable homes ownership in Sefton, and the reasons that drive this, the SHMA update suggests that shared ownership is likely to be the preferred product, rather than discounted market sale. This has the benefit </w:t>
      </w:r>
      <w:r w:rsidR="002344C3">
        <w:t>of requiring a much lower deposit and lower overall costs (due to the rent being subsidised</w:t>
      </w:r>
      <w:r w:rsidR="007049EF">
        <w:t>)</w:t>
      </w:r>
      <w:r w:rsidR="002344C3">
        <w:t>. It also allows the Council to require that any funds secured through ‘staircasing’ can be recycl</w:t>
      </w:r>
      <w:r w:rsidR="00D63474">
        <w:t>ed</w:t>
      </w:r>
      <w:r w:rsidR="002344C3">
        <w:t xml:space="preserve"> for other affordable housing in the local area.</w:t>
      </w:r>
      <w:r w:rsidR="00F17CAB">
        <w:t xml:space="preserve"> Other schemes that assist with a deposit contribution may </w:t>
      </w:r>
      <w:r w:rsidR="007049EF">
        <w:t xml:space="preserve">also </w:t>
      </w:r>
      <w:r w:rsidR="00F17CAB">
        <w:t xml:space="preserve">be </w:t>
      </w:r>
      <w:r w:rsidR="009C095F">
        <w:t>appropriate.</w:t>
      </w:r>
      <w:r w:rsidR="002344C3">
        <w:t xml:space="preserve"> </w:t>
      </w:r>
    </w:p>
    <w:p w14:paraId="3F0F968B" w14:textId="77777777" w:rsidR="00E20F77" w:rsidRDefault="00E20F77" w:rsidP="00421F68">
      <w:pPr>
        <w:autoSpaceDE w:val="0"/>
        <w:autoSpaceDN w:val="0"/>
        <w:adjustRightInd w:val="0"/>
      </w:pPr>
    </w:p>
    <w:p w14:paraId="540F290A" w14:textId="53CDC961" w:rsidR="00E20F77" w:rsidRDefault="005C76A5" w:rsidP="00421F68">
      <w:pPr>
        <w:autoSpaceDE w:val="0"/>
        <w:autoSpaceDN w:val="0"/>
        <w:adjustRightInd w:val="0"/>
      </w:pPr>
      <w:r>
        <w:t>2.21</w:t>
      </w:r>
      <w:r>
        <w:tab/>
      </w:r>
      <w:r w:rsidR="00B311CA">
        <w:t>It is not expected that discounted market sale housing would usefully meet an affordable home ownership need in Sefton, as the barrier for many residents is the ability to access the capital for a deposit. The ability of c</w:t>
      </w:r>
      <w:r w:rsidR="00577175">
        <w:t xml:space="preserve">heaper market housing would not address this issue as cheaper homes already exist. If the Council were to accept discounted market housing for sale as an appropriate product </w:t>
      </w:r>
      <w:r w:rsidR="002867F3">
        <w:t>for affordable home ownership there is likely to have to be significant reductions for</w:t>
      </w:r>
      <w:r w:rsidR="00E569A2">
        <w:t xml:space="preserve"> this to meet an actual need. The SHMA update suggests sale prices for different parts of Sefton which broadly suggest a discount of 30-40%</w:t>
      </w:r>
      <w:r w:rsidR="00A329E4">
        <w:t xml:space="preserve">. </w:t>
      </w:r>
    </w:p>
    <w:p w14:paraId="64A6369A" w14:textId="77777777" w:rsidR="00B455E8" w:rsidRDefault="00B455E8" w:rsidP="00421F68">
      <w:pPr>
        <w:autoSpaceDE w:val="0"/>
        <w:autoSpaceDN w:val="0"/>
        <w:adjustRightInd w:val="0"/>
      </w:pPr>
    </w:p>
    <w:p w14:paraId="5789A735" w14:textId="1FE7D661" w:rsidR="00B455E8" w:rsidRDefault="005C76A5" w:rsidP="00421F68">
      <w:pPr>
        <w:autoSpaceDE w:val="0"/>
        <w:autoSpaceDN w:val="0"/>
        <w:adjustRightInd w:val="0"/>
      </w:pPr>
      <w:r>
        <w:t>2.22</w:t>
      </w:r>
      <w:r>
        <w:tab/>
      </w:r>
      <w:r w:rsidR="0021151E" w:rsidRPr="00A329E4">
        <w:t>The NPPF require</w:t>
      </w:r>
      <w:r w:rsidR="00A329E4" w:rsidRPr="00A329E4">
        <w:t>ment</w:t>
      </w:r>
      <w:r w:rsidR="00A329E4">
        <w:t xml:space="preserve"> that</w:t>
      </w:r>
      <w:r w:rsidR="0021151E" w:rsidRPr="00A329E4">
        <w:t xml:space="preserve"> </w:t>
      </w:r>
      <w:r w:rsidR="00A329E4" w:rsidRPr="00A329E4">
        <w:t xml:space="preserve">on schemes of </w:t>
      </w:r>
      <w:r w:rsidR="0021151E" w:rsidRPr="00A329E4">
        <w:t xml:space="preserve">10 or more </w:t>
      </w:r>
      <w:r w:rsidR="00A329E4" w:rsidRPr="00A329E4">
        <w:t>homes</w:t>
      </w:r>
      <w:r w:rsidR="0021151E" w:rsidRPr="00A329E4">
        <w:t xml:space="preserve"> </w:t>
      </w:r>
      <w:r w:rsidR="0021151E" w:rsidRPr="00A329E4">
        <w:rPr>
          <w:rFonts w:cs="Arial"/>
          <w:szCs w:val="24"/>
          <w:lang w:eastAsia="en-GB"/>
        </w:rPr>
        <w:t>at least 10% of the homes should be made available for ‘affordable home ownershi</w:t>
      </w:r>
      <w:r w:rsidR="00A329E4" w:rsidRPr="00A329E4">
        <w:rPr>
          <w:rFonts w:cs="Arial"/>
          <w:szCs w:val="24"/>
          <w:lang w:eastAsia="en-GB"/>
        </w:rPr>
        <w:t>p’ products</w:t>
      </w:r>
      <w:r w:rsidR="00093FEE" w:rsidRPr="00A329E4">
        <w:rPr>
          <w:rFonts w:cs="Arial"/>
          <w:szCs w:val="24"/>
          <w:lang w:eastAsia="en-GB"/>
        </w:rPr>
        <w:t xml:space="preserve"> </w:t>
      </w:r>
      <w:proofErr w:type="gramStart"/>
      <w:r w:rsidR="00093FEE" w:rsidRPr="00A329E4">
        <w:rPr>
          <w:rFonts w:cs="Arial"/>
          <w:szCs w:val="24"/>
          <w:lang w:eastAsia="en-GB"/>
        </w:rPr>
        <w:t>is</w:t>
      </w:r>
      <w:proofErr w:type="gramEnd"/>
      <w:r w:rsidR="00093FEE" w:rsidRPr="00A329E4">
        <w:rPr>
          <w:rFonts w:cs="Arial"/>
          <w:szCs w:val="24"/>
          <w:lang w:eastAsia="en-GB"/>
        </w:rPr>
        <w:t xml:space="preserve"> slightly </w:t>
      </w:r>
      <w:r w:rsidR="00A329E4" w:rsidRPr="00A329E4">
        <w:rPr>
          <w:rFonts w:cs="Arial"/>
          <w:szCs w:val="24"/>
          <w:lang w:eastAsia="en-GB"/>
        </w:rPr>
        <w:t>incompatible with</w:t>
      </w:r>
      <w:r w:rsidR="00093FEE" w:rsidRPr="00A329E4">
        <w:rPr>
          <w:rFonts w:cs="Arial"/>
          <w:szCs w:val="24"/>
          <w:lang w:eastAsia="en-GB"/>
        </w:rPr>
        <w:t xml:space="preserve"> the Council’s requirement for affordable housing in terms of </w:t>
      </w:r>
      <w:r w:rsidR="003D776A" w:rsidRPr="00A329E4">
        <w:rPr>
          <w:rFonts w:cs="Arial"/>
          <w:szCs w:val="24"/>
          <w:lang w:eastAsia="en-GB"/>
        </w:rPr>
        <w:t>the</w:t>
      </w:r>
      <w:r w:rsidR="00093FEE" w:rsidRPr="00A329E4">
        <w:rPr>
          <w:rFonts w:cs="Arial"/>
          <w:szCs w:val="24"/>
          <w:lang w:eastAsia="en-GB"/>
        </w:rPr>
        <w:t xml:space="preserve"> tenure split</w:t>
      </w:r>
      <w:r w:rsidR="003D776A" w:rsidRPr="00A329E4">
        <w:rPr>
          <w:rFonts w:cs="Arial"/>
          <w:szCs w:val="24"/>
          <w:lang w:eastAsia="en-GB"/>
        </w:rPr>
        <w:t xml:space="preserve"> the Council </w:t>
      </w:r>
      <w:r w:rsidR="00A329E4">
        <w:rPr>
          <w:rFonts w:cs="Arial"/>
          <w:szCs w:val="24"/>
          <w:lang w:eastAsia="en-GB"/>
        </w:rPr>
        <w:t xml:space="preserve">currently </w:t>
      </w:r>
      <w:r w:rsidR="003D776A" w:rsidRPr="00A329E4">
        <w:rPr>
          <w:rFonts w:cs="Arial"/>
          <w:szCs w:val="24"/>
          <w:lang w:eastAsia="en-GB"/>
        </w:rPr>
        <w:t>seek in the Local Plan</w:t>
      </w:r>
      <w:r w:rsidR="00093FEE" w:rsidRPr="00A329E4">
        <w:rPr>
          <w:rFonts w:cs="Arial"/>
          <w:szCs w:val="24"/>
          <w:lang w:eastAsia="en-GB"/>
        </w:rPr>
        <w:t>.</w:t>
      </w:r>
      <w:r w:rsidR="00A329E4" w:rsidRPr="00A329E4">
        <w:t xml:space="preserve"> </w:t>
      </w:r>
      <w:r w:rsidR="00041D47" w:rsidRPr="00A329E4">
        <w:t>The SHMA update</w:t>
      </w:r>
      <w:r w:rsidR="00093FEE" w:rsidRPr="00A329E4">
        <w:t xml:space="preserve"> </w:t>
      </w:r>
      <w:r w:rsidR="004D35CB" w:rsidRPr="00A329E4">
        <w:t xml:space="preserve">therefore </w:t>
      </w:r>
      <w:r w:rsidR="00093FEE" w:rsidRPr="00A329E4">
        <w:t xml:space="preserve">suggests </w:t>
      </w:r>
      <w:r w:rsidR="00261BF6" w:rsidRPr="00A329E4">
        <w:lastRenderedPageBreak/>
        <w:t xml:space="preserve">that the tenure split of affordable </w:t>
      </w:r>
      <w:r w:rsidR="00FC0015" w:rsidRPr="00A329E4">
        <w:t xml:space="preserve">housing </w:t>
      </w:r>
      <w:r w:rsidR="00261BF6" w:rsidRPr="00A329E4">
        <w:t xml:space="preserve">secured </w:t>
      </w:r>
      <w:r w:rsidR="00FC0015" w:rsidRPr="00A329E4">
        <w:t>on new developments should be revised</w:t>
      </w:r>
      <w:r w:rsidR="00E26C62">
        <w:t xml:space="preserve"> to reflect this</w:t>
      </w:r>
      <w:r w:rsidR="00FC0015" w:rsidRPr="00A329E4">
        <w:t>. The following is suggested:</w:t>
      </w:r>
    </w:p>
    <w:p w14:paraId="56E0805B" w14:textId="77777777" w:rsidR="004D35CB" w:rsidRDefault="004D35CB" w:rsidP="00421F68">
      <w:pPr>
        <w:autoSpaceDE w:val="0"/>
        <w:autoSpaceDN w:val="0"/>
        <w:adjustRightInd w:val="0"/>
      </w:pPr>
    </w:p>
    <w:p w14:paraId="7DA916AB" w14:textId="73B832A7" w:rsidR="00FC0015" w:rsidRDefault="005C76A5" w:rsidP="00421F68">
      <w:pPr>
        <w:autoSpaceDE w:val="0"/>
        <w:autoSpaceDN w:val="0"/>
        <w:adjustRightInd w:val="0"/>
      </w:pPr>
      <w:r>
        <w:t>2.23</w:t>
      </w:r>
      <w:r>
        <w:tab/>
      </w:r>
      <w:r w:rsidR="004D35CB">
        <w:t>For schemes of 15 homes</w:t>
      </w:r>
      <w:r w:rsidR="00E26C62">
        <w:t xml:space="preserve"> (i.e. the point when the Council seeks affordable homes)</w:t>
      </w:r>
      <w:r w:rsidR="004D35CB">
        <w:t xml:space="preserve"> or more:</w:t>
      </w:r>
    </w:p>
    <w:p w14:paraId="5AD7A8BD" w14:textId="26F05CDE" w:rsidR="00FC0015" w:rsidRDefault="00FC0015" w:rsidP="00FC0015">
      <w:pPr>
        <w:pStyle w:val="ListParagraph"/>
        <w:numPr>
          <w:ilvl w:val="0"/>
          <w:numId w:val="15"/>
        </w:numPr>
        <w:autoSpaceDE w:val="0"/>
        <w:autoSpaceDN w:val="0"/>
        <w:adjustRightInd w:val="0"/>
      </w:pPr>
      <w:r>
        <w:t>In Bootle in Netherton the split will need to be 33:67 between affordable/social rented and affordable home ownership products</w:t>
      </w:r>
      <w:r w:rsidR="003A5DDA">
        <w:t>. Currently the split is 50:50.</w:t>
      </w:r>
    </w:p>
    <w:p w14:paraId="1E713600" w14:textId="24A29237" w:rsidR="00FC0015" w:rsidRDefault="00FC0015" w:rsidP="00FC0015">
      <w:pPr>
        <w:pStyle w:val="ListParagraph"/>
        <w:numPr>
          <w:ilvl w:val="0"/>
          <w:numId w:val="15"/>
        </w:numPr>
        <w:autoSpaceDE w:val="0"/>
        <w:autoSpaceDN w:val="0"/>
        <w:adjustRightInd w:val="0"/>
      </w:pPr>
      <w:r>
        <w:t>Outside Bootle and Netherton the split will need to be 67:33 between affordable/social rented and affordable home ownership products</w:t>
      </w:r>
      <w:r w:rsidR="003A5DDA">
        <w:t>. Currently the split is 80:20.</w:t>
      </w:r>
    </w:p>
    <w:p w14:paraId="78316195" w14:textId="77777777" w:rsidR="00FC0015" w:rsidRDefault="00FC0015" w:rsidP="003A5DDA">
      <w:pPr>
        <w:autoSpaceDE w:val="0"/>
        <w:autoSpaceDN w:val="0"/>
        <w:adjustRightInd w:val="0"/>
      </w:pPr>
    </w:p>
    <w:p w14:paraId="19798B31" w14:textId="0EE51E4C" w:rsidR="007049EF" w:rsidRDefault="005C76A5" w:rsidP="003A5DDA">
      <w:pPr>
        <w:autoSpaceDE w:val="0"/>
        <w:autoSpaceDN w:val="0"/>
        <w:adjustRightInd w:val="0"/>
      </w:pPr>
      <w:r>
        <w:t>2.24</w:t>
      </w:r>
      <w:r>
        <w:tab/>
      </w:r>
      <w:r w:rsidR="003A5DDA">
        <w:t>In both cases there will be more affordable home ownership products secured</w:t>
      </w:r>
      <w:r w:rsidR="00144DAE">
        <w:t xml:space="preserve"> tha</w:t>
      </w:r>
      <w:r w:rsidR="006A4324">
        <w:t>n</w:t>
      </w:r>
      <w:r w:rsidR="00144DAE">
        <w:t xml:space="preserve"> under the current approach</w:t>
      </w:r>
      <w:r w:rsidR="003A5DDA">
        <w:t xml:space="preserve">. </w:t>
      </w:r>
      <w:r w:rsidR="007049EF">
        <w:t xml:space="preserve">This is likely </w:t>
      </w:r>
      <w:r w:rsidR="00C06132">
        <w:t xml:space="preserve">to greatly assist </w:t>
      </w:r>
      <w:r w:rsidR="007049EF">
        <w:t xml:space="preserve">people who are currently in private rented accommodation </w:t>
      </w:r>
      <w:r w:rsidR="00C06132">
        <w:t>and</w:t>
      </w:r>
      <w:r w:rsidR="007049EF">
        <w:t xml:space="preserve"> who wish </w:t>
      </w:r>
      <w:r w:rsidR="00C06132">
        <w:t xml:space="preserve">to purchase a property, but are currently prevented from doing so. These are likely to be households who may not be eligible for social housing, due to their earnings or circumstances, but who struggle to access a deposit to purchase a home. Whilst this </w:t>
      </w:r>
      <w:r w:rsidR="00CB7214">
        <w:t>will result in fewer homes in the affordable/social rented tenure, it would be difficult to retain the current tenure split as this</w:t>
      </w:r>
      <w:r w:rsidR="00EC527D">
        <w:t xml:space="preserve"> does not accord</w:t>
      </w:r>
      <w:r w:rsidR="00CB7214">
        <w:t xml:space="preserve"> with the changes to the NPPF. One likely beneficial consequence is that the amended tenure split is likely to be a more viable tha</w:t>
      </w:r>
      <w:r w:rsidR="004772C8">
        <w:t>n</w:t>
      </w:r>
      <w:r w:rsidR="00CB7214">
        <w:t xml:space="preserve"> the current tenure split, and this should help secure affordable housing units</w:t>
      </w:r>
      <w:r w:rsidR="009340B9">
        <w:t xml:space="preserve"> on sites that have viability issues</w:t>
      </w:r>
      <w:r w:rsidR="00CB7214">
        <w:t>.</w:t>
      </w:r>
    </w:p>
    <w:p w14:paraId="66DD863A" w14:textId="77777777" w:rsidR="004D35CB" w:rsidRDefault="004D35CB" w:rsidP="003A5DDA">
      <w:pPr>
        <w:autoSpaceDE w:val="0"/>
        <w:autoSpaceDN w:val="0"/>
        <w:adjustRightInd w:val="0"/>
      </w:pPr>
    </w:p>
    <w:p w14:paraId="475579D1" w14:textId="77777777" w:rsidR="00ED0889" w:rsidRDefault="005C76A5" w:rsidP="003A5DDA">
      <w:pPr>
        <w:autoSpaceDE w:val="0"/>
        <w:autoSpaceDN w:val="0"/>
        <w:adjustRightInd w:val="0"/>
      </w:pPr>
      <w:r>
        <w:t>2.25</w:t>
      </w:r>
      <w:r>
        <w:tab/>
      </w:r>
      <w:r w:rsidR="00EC527D">
        <w:t xml:space="preserve">The NPPF paragraph 64 requirement applies to </w:t>
      </w:r>
      <w:r w:rsidR="00A7641E">
        <w:t xml:space="preserve">major </w:t>
      </w:r>
      <w:r w:rsidR="00EC527D">
        <w:t>schemes</w:t>
      </w:r>
      <w:r w:rsidR="00ED0889">
        <w:t xml:space="preserve"> as part of the overall housing contribution from the site</w:t>
      </w:r>
      <w:r w:rsidR="00964AAD">
        <w:t>. Major schemes are defined as schemes</w:t>
      </w:r>
      <w:r w:rsidR="00EC527D">
        <w:t xml:space="preserve"> of 10 homes or more. </w:t>
      </w:r>
      <w:r w:rsidR="00ED0889">
        <w:t>The Council had previously interpreted this that o</w:t>
      </w:r>
      <w:r w:rsidR="004D35CB">
        <w:t xml:space="preserve">n schemes of 10 to 14 homes, which are not currently caught by the Council’s affordable housing requirement, it </w:t>
      </w:r>
      <w:r w:rsidR="00ED0889">
        <w:t>should</w:t>
      </w:r>
      <w:r w:rsidR="004D35CB">
        <w:t xml:space="preserve"> seek to </w:t>
      </w:r>
      <w:r w:rsidR="00590487">
        <w:t xml:space="preserve">secure </w:t>
      </w:r>
      <w:r w:rsidR="0032452D">
        <w:t xml:space="preserve">a minimum of </w:t>
      </w:r>
      <w:r w:rsidR="00590487">
        <w:t>10% of the properties (i.e. 1 or 2 properties) as an affordable home ownership unit.</w:t>
      </w:r>
      <w:r w:rsidR="00BE39F5">
        <w:t xml:space="preserve"> The Council has currently been seeking this as an interim position</w:t>
      </w:r>
      <w:r w:rsidR="00EC527D">
        <w:t xml:space="preserve"> across Sefton</w:t>
      </w:r>
      <w:r w:rsidR="004B4917">
        <w:t xml:space="preserve"> since September 2018. </w:t>
      </w:r>
    </w:p>
    <w:p w14:paraId="6E41F744" w14:textId="77777777" w:rsidR="00ED0889" w:rsidRDefault="00ED0889" w:rsidP="003A5DDA">
      <w:pPr>
        <w:autoSpaceDE w:val="0"/>
        <w:autoSpaceDN w:val="0"/>
        <w:adjustRightInd w:val="0"/>
      </w:pPr>
    </w:p>
    <w:p w14:paraId="4C0A1DCA" w14:textId="239232EA" w:rsidR="00ED0889" w:rsidRDefault="00527114" w:rsidP="003A5DDA">
      <w:pPr>
        <w:autoSpaceDE w:val="0"/>
        <w:autoSpaceDN w:val="0"/>
        <w:adjustRightInd w:val="0"/>
      </w:pPr>
      <w:r>
        <w:t xml:space="preserve">2.26 </w:t>
      </w:r>
      <w:r>
        <w:tab/>
      </w:r>
      <w:r w:rsidR="00ED0889">
        <w:t xml:space="preserve">However, a recent appeal decision at </w:t>
      </w:r>
      <w:proofErr w:type="spellStart"/>
      <w:r w:rsidR="00ED0889">
        <w:t>Damfield</w:t>
      </w:r>
      <w:proofErr w:type="spellEnd"/>
      <w:r w:rsidR="00ED0889">
        <w:t xml:space="preserve"> Lane, Maghull for </w:t>
      </w:r>
      <w:r w:rsidR="00920624" w:rsidRPr="00920624">
        <w:t>14</w:t>
      </w:r>
      <w:r w:rsidR="00ED0889" w:rsidRPr="00920624">
        <w:t xml:space="preserve"> homes</w:t>
      </w:r>
      <w:r w:rsidR="00ED0889">
        <w:t>, the applicant challenged this interpretation. They</w:t>
      </w:r>
      <w:r w:rsidR="00B747AB">
        <w:t xml:space="preserve"> put forward the argument that</w:t>
      </w:r>
      <w:r w:rsidR="0006671C">
        <w:t>,</w:t>
      </w:r>
      <w:r w:rsidR="00B747AB">
        <w:t xml:space="preserve"> as the Local Plan threshold for affordable </w:t>
      </w:r>
      <w:r w:rsidR="0006671C">
        <w:t>housing was informed by a viability appraisal, then to ask for an affordable housing contribution below this was incorrect</w:t>
      </w:r>
      <w:r w:rsidR="000C3671">
        <w:t xml:space="preserve">. The Inspector agreed and concluded </w:t>
      </w:r>
      <w:r w:rsidR="003454AD">
        <w:t xml:space="preserve">that </w:t>
      </w:r>
      <w:r w:rsidR="00A4135E">
        <w:t>as</w:t>
      </w:r>
      <w:r w:rsidR="00A140C5">
        <w:t xml:space="preserve"> </w:t>
      </w:r>
      <w:r w:rsidR="003454AD">
        <w:t xml:space="preserve">the Council’s </w:t>
      </w:r>
      <w:r w:rsidR="00770C34">
        <w:t xml:space="preserve">Local Plan </w:t>
      </w:r>
      <w:r w:rsidR="003454AD">
        <w:t xml:space="preserve">policy for affordable housing </w:t>
      </w:r>
      <w:r w:rsidR="0061706F">
        <w:t xml:space="preserve">does not apply to schemes </w:t>
      </w:r>
      <w:r w:rsidR="002C14CA">
        <w:t xml:space="preserve">below 15 units, then it is not appropriate to </w:t>
      </w:r>
      <w:r w:rsidR="000D09F0">
        <w:t>apply the NPPF par</w:t>
      </w:r>
      <w:r w:rsidR="001A5C75">
        <w:t xml:space="preserve">agraph 64 requirement to </w:t>
      </w:r>
      <w:r w:rsidR="00C45DDA">
        <w:t>proposals below that amount. As such</w:t>
      </w:r>
      <w:r w:rsidR="00A0381B">
        <w:t xml:space="preserve"> it is unlikely that we will be able to continue </w:t>
      </w:r>
      <w:r w:rsidR="00B94E72">
        <w:t xml:space="preserve">to </w:t>
      </w:r>
      <w:r w:rsidR="00061158">
        <w:t xml:space="preserve">seek to secure an affordable home ownership unit on schemes of 10-14 homes. This is unlikely to make much of difference as over the </w:t>
      </w:r>
      <w:r w:rsidR="00061158" w:rsidRPr="002350FA">
        <w:t xml:space="preserve">past </w:t>
      </w:r>
      <w:r w:rsidR="00072DE5" w:rsidRPr="002350FA">
        <w:t>2</w:t>
      </w:r>
      <w:r w:rsidR="00061158">
        <w:t xml:space="preserve"> years</w:t>
      </w:r>
      <w:r w:rsidR="00072DE5">
        <w:t xml:space="preserve"> (2017/18 and 2018/19) there have only been </w:t>
      </w:r>
      <w:r w:rsidR="002350FA">
        <w:t>8</w:t>
      </w:r>
      <w:r w:rsidR="00072DE5">
        <w:t xml:space="preserve"> schemes </w:t>
      </w:r>
      <w:r w:rsidR="002350FA">
        <w:t xml:space="preserve">approved </w:t>
      </w:r>
      <w:r w:rsidR="00072DE5">
        <w:t xml:space="preserve">that </w:t>
      </w:r>
      <w:r w:rsidR="002350FA">
        <w:t>are within this</w:t>
      </w:r>
      <w:r w:rsidR="00072DE5">
        <w:t xml:space="preserve"> category</w:t>
      </w:r>
      <w:r w:rsidR="004772C8">
        <w:t xml:space="preserve"> and these would have only secured between 8-12 affordable home ownership units</w:t>
      </w:r>
      <w:r w:rsidR="00072DE5">
        <w:t>.</w:t>
      </w:r>
    </w:p>
    <w:p w14:paraId="73FB3385" w14:textId="77777777" w:rsidR="007049EF" w:rsidRDefault="007049EF" w:rsidP="003A5DDA">
      <w:pPr>
        <w:autoSpaceDE w:val="0"/>
        <w:autoSpaceDN w:val="0"/>
        <w:adjustRightInd w:val="0"/>
      </w:pPr>
    </w:p>
    <w:p w14:paraId="06F47C0B" w14:textId="3F0FB7F2" w:rsidR="003A5DDA" w:rsidRDefault="005C76A5" w:rsidP="003A5DDA">
      <w:pPr>
        <w:autoSpaceDE w:val="0"/>
        <w:autoSpaceDN w:val="0"/>
        <w:adjustRightInd w:val="0"/>
      </w:pPr>
      <w:r>
        <w:t>2.2</w:t>
      </w:r>
      <w:r w:rsidR="00527114">
        <w:t>7</w:t>
      </w:r>
      <w:r>
        <w:tab/>
      </w:r>
      <w:r w:rsidR="003A5DDA">
        <w:t xml:space="preserve">The SHMA update suggests that the Council may want to consider </w:t>
      </w:r>
      <w:r w:rsidR="00A8300E">
        <w:t>a</w:t>
      </w:r>
      <w:r w:rsidR="0040702D">
        <w:t>n overall affordable housing</w:t>
      </w:r>
      <w:r w:rsidR="00A8300E">
        <w:t xml:space="preserve"> target </w:t>
      </w:r>
      <w:proofErr w:type="gramStart"/>
      <w:r w:rsidR="00A8300E">
        <w:t>in excess of</w:t>
      </w:r>
      <w:proofErr w:type="gramEnd"/>
      <w:r w:rsidR="00A8300E">
        <w:t xml:space="preserve"> the current 30% affordable housing on schemes outside Bootle and Netherton to </w:t>
      </w:r>
      <w:r w:rsidR="00887453">
        <w:t>maximise all forms of affordable housing.</w:t>
      </w:r>
      <w:r w:rsidR="00A7641E">
        <w:t xml:space="preserve"> This level of change would have to be pursued within a Local Plan review. </w:t>
      </w:r>
    </w:p>
    <w:p w14:paraId="6C4755E2" w14:textId="77777777" w:rsidR="00B94D27" w:rsidRDefault="00B94D27" w:rsidP="003A5DDA">
      <w:pPr>
        <w:autoSpaceDE w:val="0"/>
        <w:autoSpaceDN w:val="0"/>
        <w:adjustRightInd w:val="0"/>
      </w:pPr>
    </w:p>
    <w:p w14:paraId="07B6BF88" w14:textId="1B6C80F0" w:rsidR="00B94D27" w:rsidRDefault="005C76A5" w:rsidP="003A5DDA">
      <w:pPr>
        <w:autoSpaceDE w:val="0"/>
        <w:autoSpaceDN w:val="0"/>
        <w:adjustRightInd w:val="0"/>
      </w:pPr>
      <w:r>
        <w:t>2.2</w:t>
      </w:r>
      <w:r w:rsidR="00527114">
        <w:t>8</w:t>
      </w:r>
      <w:r>
        <w:tab/>
      </w:r>
      <w:r w:rsidR="00095C6D">
        <w:t>The SHMA update suggests that if the Council were to seek additional homes in the affordable home ownership sector</w:t>
      </w:r>
      <w:r w:rsidR="001B3430">
        <w:t xml:space="preserve"> they may want to consider setting up a register of people interested in these products.</w:t>
      </w:r>
    </w:p>
    <w:p w14:paraId="2C9B3C6C" w14:textId="40444D89" w:rsidR="000F1BA8" w:rsidRDefault="000F1BA8" w:rsidP="003A5DDA">
      <w:pPr>
        <w:autoSpaceDE w:val="0"/>
        <w:autoSpaceDN w:val="0"/>
        <w:adjustRightInd w:val="0"/>
      </w:pPr>
    </w:p>
    <w:p w14:paraId="175F62EE" w14:textId="3E59B8E7" w:rsidR="000F1BA8" w:rsidRPr="004436CC" w:rsidRDefault="000F1BA8" w:rsidP="003A5DDA">
      <w:pPr>
        <w:autoSpaceDE w:val="0"/>
        <w:autoSpaceDN w:val="0"/>
        <w:adjustRightInd w:val="0"/>
        <w:rPr>
          <w:u w:val="single"/>
        </w:rPr>
      </w:pPr>
      <w:proofErr w:type="spellStart"/>
      <w:r w:rsidRPr="004436CC">
        <w:rPr>
          <w:u w:val="single"/>
        </w:rPr>
        <w:t>Bedspaces</w:t>
      </w:r>
      <w:proofErr w:type="spellEnd"/>
      <w:r w:rsidRPr="004436CC">
        <w:rPr>
          <w:u w:val="single"/>
        </w:rPr>
        <w:t xml:space="preserve"> v Units</w:t>
      </w:r>
    </w:p>
    <w:p w14:paraId="131755E7" w14:textId="52D9EE1F" w:rsidR="000F1BA8" w:rsidRPr="004436CC" w:rsidRDefault="000F1BA8" w:rsidP="003A5DDA">
      <w:pPr>
        <w:autoSpaceDE w:val="0"/>
        <w:autoSpaceDN w:val="0"/>
        <w:adjustRightInd w:val="0"/>
        <w:rPr>
          <w:u w:val="single"/>
        </w:rPr>
      </w:pPr>
    </w:p>
    <w:p w14:paraId="0D90ED03" w14:textId="1457DC1B" w:rsidR="00484038" w:rsidRPr="004436CC" w:rsidRDefault="00CC0968" w:rsidP="003A5DDA">
      <w:pPr>
        <w:autoSpaceDE w:val="0"/>
        <w:autoSpaceDN w:val="0"/>
        <w:adjustRightInd w:val="0"/>
      </w:pPr>
      <w:r w:rsidRPr="004436CC">
        <w:t>2.29</w:t>
      </w:r>
      <w:r w:rsidRPr="004436CC">
        <w:tab/>
      </w:r>
      <w:r w:rsidR="00A211C7" w:rsidRPr="004436CC">
        <w:t xml:space="preserve">To maximise the amount of affordable housing that the Council achieved on development sites and ensure that all affordable housing was not provided in very small units, </w:t>
      </w:r>
      <w:r w:rsidR="00E72EA7" w:rsidRPr="004436CC">
        <w:t xml:space="preserve">it was decided, through the Local Plan, to use </w:t>
      </w:r>
      <w:proofErr w:type="spellStart"/>
      <w:r w:rsidR="00E72EA7" w:rsidRPr="004436CC">
        <w:t>bedspaces</w:t>
      </w:r>
      <w:proofErr w:type="spellEnd"/>
      <w:r w:rsidR="00E72EA7" w:rsidRPr="004436CC">
        <w:t xml:space="preserve"> </w:t>
      </w:r>
      <w:r w:rsidR="004A17B9" w:rsidRPr="004436CC">
        <w:t>to</w:t>
      </w:r>
      <w:r w:rsidR="00E72EA7" w:rsidRPr="004436CC">
        <w:t xml:space="preserve"> calculate the total amount of affordable housing required. However, whilst this has had some success</w:t>
      </w:r>
      <w:r w:rsidR="0039436C" w:rsidRPr="004436CC">
        <w:t xml:space="preserve"> in securing additional affordable units, in some instance’s developers have turned this around and used it to reduce units. They have done this by putting the affordable housing in larger 4</w:t>
      </w:r>
      <w:r w:rsidR="007336B2" w:rsidRPr="004436CC">
        <w:t>-</w:t>
      </w:r>
      <w:r w:rsidR="0039436C" w:rsidRPr="004436CC">
        <w:t xml:space="preserve">bedroom homes and </w:t>
      </w:r>
      <w:r w:rsidR="009C67B1" w:rsidRPr="004436CC">
        <w:t xml:space="preserve">providing more </w:t>
      </w:r>
      <w:proofErr w:type="spellStart"/>
      <w:r w:rsidR="009C67B1" w:rsidRPr="004436CC">
        <w:t>bedspaces</w:t>
      </w:r>
      <w:proofErr w:type="spellEnd"/>
      <w:r w:rsidR="009C67B1" w:rsidRPr="004436CC">
        <w:t xml:space="preserve"> in fewer dwellings. </w:t>
      </w:r>
      <w:r w:rsidR="007336B2" w:rsidRPr="004436CC">
        <w:t xml:space="preserve">This has had the unintended consequence of developers providing </w:t>
      </w:r>
      <w:r w:rsidR="00272F64" w:rsidRPr="004436CC">
        <w:t>the wrong mix of affordable housing to what is needed, i.e. smaller properties.</w:t>
      </w:r>
    </w:p>
    <w:p w14:paraId="18C991DB" w14:textId="07ED5016" w:rsidR="00272F64" w:rsidRPr="004436CC" w:rsidRDefault="00272F64" w:rsidP="003A5DDA">
      <w:pPr>
        <w:autoSpaceDE w:val="0"/>
        <w:autoSpaceDN w:val="0"/>
        <w:adjustRightInd w:val="0"/>
      </w:pPr>
    </w:p>
    <w:p w14:paraId="36260C96" w14:textId="28E0BC08" w:rsidR="00272F64" w:rsidRPr="004436CC" w:rsidRDefault="00CC0968" w:rsidP="003A5DDA">
      <w:pPr>
        <w:autoSpaceDE w:val="0"/>
        <w:autoSpaceDN w:val="0"/>
        <w:adjustRightInd w:val="0"/>
      </w:pPr>
      <w:r w:rsidRPr="004436CC">
        <w:t>2.30</w:t>
      </w:r>
      <w:r w:rsidRPr="004436CC">
        <w:tab/>
      </w:r>
      <w:r w:rsidR="00272F64" w:rsidRPr="004436CC">
        <w:t xml:space="preserve">Whilst the use of </w:t>
      </w:r>
      <w:proofErr w:type="spellStart"/>
      <w:r w:rsidR="00272F64" w:rsidRPr="004436CC">
        <w:t>bedspaces</w:t>
      </w:r>
      <w:proofErr w:type="spellEnd"/>
      <w:r w:rsidR="00272F64" w:rsidRPr="004436CC">
        <w:t xml:space="preserve"> is </w:t>
      </w:r>
      <w:r w:rsidR="002E2544" w:rsidRPr="004436CC">
        <w:t xml:space="preserve">set out in Policy HC1 of the Local Plan, which was found sound by the planning inspector, the </w:t>
      </w:r>
      <w:r w:rsidR="004D6253" w:rsidRPr="004436CC">
        <w:t>policy also states specifically as part 11 that:</w:t>
      </w:r>
    </w:p>
    <w:p w14:paraId="261B8B12" w14:textId="09B2E698" w:rsidR="004D6253" w:rsidRPr="004436CC" w:rsidRDefault="004D6253" w:rsidP="003A5DDA">
      <w:pPr>
        <w:autoSpaceDE w:val="0"/>
        <w:autoSpaceDN w:val="0"/>
        <w:adjustRightInd w:val="0"/>
      </w:pPr>
    </w:p>
    <w:p w14:paraId="2F44F969" w14:textId="73CDC8F7" w:rsidR="004D6253" w:rsidRPr="004436CC" w:rsidRDefault="00241933" w:rsidP="003A5DDA">
      <w:pPr>
        <w:autoSpaceDE w:val="0"/>
        <w:autoSpaceDN w:val="0"/>
        <w:adjustRightInd w:val="0"/>
        <w:rPr>
          <w:i/>
        </w:rPr>
      </w:pPr>
      <w:r w:rsidRPr="004436CC">
        <w:rPr>
          <w:i/>
        </w:rPr>
        <w:t>‘</w:t>
      </w:r>
      <w:r w:rsidR="004D6253" w:rsidRPr="004436CC">
        <w:rPr>
          <w:i/>
        </w:rPr>
        <w:t xml:space="preserve">In implementing the policy, the Council will have regard to changes in the Borough’s requirements for affordable housing based on new evidence of need as set out in future commissioned </w:t>
      </w:r>
      <w:r w:rsidRPr="004436CC">
        <w:rPr>
          <w:i/>
        </w:rPr>
        <w:t>Strategic Housing Market Assessments or similar studies.’</w:t>
      </w:r>
    </w:p>
    <w:p w14:paraId="38A396A7" w14:textId="76D7664C" w:rsidR="00241933" w:rsidRPr="004436CC" w:rsidRDefault="00241933" w:rsidP="003A5DDA">
      <w:pPr>
        <w:autoSpaceDE w:val="0"/>
        <w:autoSpaceDN w:val="0"/>
        <w:adjustRightInd w:val="0"/>
        <w:rPr>
          <w:i/>
        </w:rPr>
      </w:pPr>
    </w:p>
    <w:p w14:paraId="407C6573" w14:textId="50F72B78" w:rsidR="00241933" w:rsidRPr="004436CC" w:rsidRDefault="00CC0968" w:rsidP="003A5DDA">
      <w:pPr>
        <w:autoSpaceDE w:val="0"/>
        <w:autoSpaceDN w:val="0"/>
        <w:adjustRightInd w:val="0"/>
      </w:pPr>
      <w:r w:rsidRPr="004436CC">
        <w:t>2.31</w:t>
      </w:r>
      <w:r w:rsidRPr="004436CC">
        <w:tab/>
      </w:r>
      <w:r w:rsidR="00241933" w:rsidRPr="004436CC">
        <w:t>The SHMA</w:t>
      </w:r>
      <w:r w:rsidR="00305CD1" w:rsidRPr="004436CC">
        <w:t xml:space="preserve"> update</w:t>
      </w:r>
      <w:r w:rsidR="00241933" w:rsidRPr="004436CC">
        <w:t xml:space="preserve"> has </w:t>
      </w:r>
      <w:r w:rsidR="00305CD1" w:rsidRPr="004436CC">
        <w:t xml:space="preserve">recognised this issue and suggests the Council considers reverting back to units as the means to calculate the number of affordable homes on a scheme. </w:t>
      </w:r>
      <w:r w:rsidR="00662AEA" w:rsidRPr="004436CC">
        <w:t xml:space="preserve">Whilst </w:t>
      </w:r>
      <w:r w:rsidR="009C67B1" w:rsidRPr="004436CC">
        <w:t>this should</w:t>
      </w:r>
      <w:r w:rsidR="00662AEA" w:rsidRPr="004436CC">
        <w:t xml:space="preserve"> result</w:t>
      </w:r>
      <w:r w:rsidR="009C67B1" w:rsidRPr="004436CC">
        <w:t xml:space="preserve"> in a mix </w:t>
      </w:r>
      <w:r w:rsidR="00662AEA" w:rsidRPr="004436CC">
        <w:t>affordable homes</w:t>
      </w:r>
      <w:r w:rsidR="009C67B1" w:rsidRPr="004436CC">
        <w:t xml:space="preserve"> that</w:t>
      </w:r>
      <w:r w:rsidR="00662AEA" w:rsidRPr="004436CC">
        <w:t xml:space="preserve"> will be of a size that more closely </w:t>
      </w:r>
      <w:r w:rsidR="007754E8" w:rsidRPr="004436CC">
        <w:t xml:space="preserve">meets the actual need. </w:t>
      </w:r>
      <w:r w:rsidR="004A17B9" w:rsidRPr="004436CC">
        <w:t>It is therefore proposed that the calculation of affordable housing is based on units, but that this will be monitored to ensure that it achieves the desired outcome</w:t>
      </w:r>
      <w:r w:rsidR="00944963" w:rsidRPr="004436CC">
        <w:t>.</w:t>
      </w:r>
      <w:r w:rsidR="009C67B1" w:rsidRPr="004436CC">
        <w:t xml:space="preserve"> This approach reflects the </w:t>
      </w:r>
      <w:r w:rsidR="00C3523C" w:rsidRPr="004436CC">
        <w:t>Local P</w:t>
      </w:r>
      <w:r w:rsidR="009C67B1" w:rsidRPr="004436CC">
        <w:t>lan and the need to take account of the changing affordable housing</w:t>
      </w:r>
      <w:r w:rsidR="00944963" w:rsidRPr="004436CC">
        <w:t xml:space="preserve"> </w:t>
      </w:r>
      <w:r w:rsidR="00EA42B0" w:rsidRPr="004436CC">
        <w:t>information.</w:t>
      </w:r>
    </w:p>
    <w:p w14:paraId="354B691F" w14:textId="474EE7B4" w:rsidR="00EA42B0" w:rsidRPr="004436CC" w:rsidRDefault="00EA42B0" w:rsidP="003A5DDA">
      <w:pPr>
        <w:autoSpaceDE w:val="0"/>
        <w:autoSpaceDN w:val="0"/>
        <w:adjustRightInd w:val="0"/>
      </w:pPr>
    </w:p>
    <w:p w14:paraId="391BAFB2" w14:textId="1E5AB22F" w:rsidR="00EA42B0" w:rsidRPr="00241933" w:rsidRDefault="00EA42B0" w:rsidP="003A5DDA">
      <w:pPr>
        <w:autoSpaceDE w:val="0"/>
        <w:autoSpaceDN w:val="0"/>
        <w:adjustRightInd w:val="0"/>
      </w:pPr>
      <w:r w:rsidRPr="004436CC">
        <w:t>2.32</w:t>
      </w:r>
      <w:r w:rsidRPr="004436CC">
        <w:tab/>
        <w:t xml:space="preserve">If calculating the amount of affordable housing by units does not result in the desired mix of affordable housing, or if the total amount of affordable housing significantly drops, then the Council could </w:t>
      </w:r>
      <w:proofErr w:type="gramStart"/>
      <w:r w:rsidRPr="004436CC">
        <w:t>revert back</w:t>
      </w:r>
      <w:proofErr w:type="gramEnd"/>
      <w:r w:rsidRPr="004436CC">
        <w:t xml:space="preserve"> to </w:t>
      </w:r>
      <w:proofErr w:type="spellStart"/>
      <w:r w:rsidRPr="004436CC">
        <w:t>bedspaces</w:t>
      </w:r>
      <w:proofErr w:type="spellEnd"/>
      <w:r w:rsidRPr="004436CC">
        <w:t xml:space="preserve"> as a means of calculation. The policy as adopted recognised the need to monitor delivery on an ongoing basis and officers consider this is an appropriate response to deliver the Council’s strategic goals.</w:t>
      </w:r>
    </w:p>
    <w:p w14:paraId="08DE84C6" w14:textId="77777777" w:rsidR="004A5EA5" w:rsidRDefault="004A5EA5" w:rsidP="00E73C8E">
      <w:pPr>
        <w:autoSpaceDE w:val="0"/>
        <w:autoSpaceDN w:val="0"/>
        <w:adjustRightInd w:val="0"/>
      </w:pPr>
    </w:p>
    <w:p w14:paraId="5B985487" w14:textId="77777777" w:rsidR="00E73C8E" w:rsidRPr="00E73C8E" w:rsidRDefault="00E73C8E" w:rsidP="00E73C8E">
      <w:pPr>
        <w:autoSpaceDE w:val="0"/>
        <w:autoSpaceDN w:val="0"/>
        <w:adjustRightInd w:val="0"/>
        <w:rPr>
          <w:u w:val="single"/>
        </w:rPr>
      </w:pPr>
      <w:r w:rsidRPr="00E73C8E">
        <w:rPr>
          <w:u w:val="single"/>
        </w:rPr>
        <w:t>Family Households and Housing Mix</w:t>
      </w:r>
    </w:p>
    <w:p w14:paraId="7DEFAC82" w14:textId="77777777" w:rsidR="00E73C8E" w:rsidRDefault="00E73C8E" w:rsidP="00E73C8E">
      <w:pPr>
        <w:autoSpaceDE w:val="0"/>
        <w:autoSpaceDN w:val="0"/>
        <w:adjustRightInd w:val="0"/>
      </w:pPr>
    </w:p>
    <w:p w14:paraId="6EBA05E3" w14:textId="4219C675" w:rsidR="00E73C8E" w:rsidRPr="002802EA" w:rsidRDefault="005C76A5" w:rsidP="00194EA2">
      <w:pPr>
        <w:autoSpaceDE w:val="0"/>
        <w:autoSpaceDN w:val="0"/>
        <w:adjustRightInd w:val="0"/>
      </w:pPr>
      <w:r>
        <w:t>2.</w:t>
      </w:r>
      <w:r w:rsidR="00CC0968">
        <w:t>3</w:t>
      </w:r>
      <w:r w:rsidR="004436CC">
        <w:t>3</w:t>
      </w:r>
      <w:r>
        <w:tab/>
      </w:r>
      <w:r w:rsidR="00194EA2" w:rsidRPr="002802EA">
        <w:t>There are a range of factors which will influence demand for diff</w:t>
      </w:r>
      <w:r w:rsidR="002802EA" w:rsidRPr="002802EA">
        <w:t xml:space="preserve">erent sizes of homes, including </w:t>
      </w:r>
      <w:r w:rsidR="00194EA2" w:rsidRPr="002802EA">
        <w:t>demographic changes; future growth in real earnings and households’</w:t>
      </w:r>
      <w:r w:rsidR="002802EA" w:rsidRPr="002802EA">
        <w:t xml:space="preserve"> ability to save; economic </w:t>
      </w:r>
      <w:r w:rsidR="00194EA2" w:rsidRPr="002802EA">
        <w:t xml:space="preserve">performance and housing affordability. The analysis </w:t>
      </w:r>
      <w:r w:rsidR="002802EA" w:rsidRPr="002802EA">
        <w:t>in the SHMA</w:t>
      </w:r>
      <w:r w:rsidR="00194EA2" w:rsidRPr="002802EA">
        <w:t xml:space="preserve"> concludes that the following represents an appropriate mix </w:t>
      </w:r>
      <w:r w:rsidR="002802EA" w:rsidRPr="002802EA">
        <w:t xml:space="preserve">of affordable and market homes, </w:t>
      </w:r>
      <w:proofErr w:type="gramStart"/>
      <w:r w:rsidR="002802EA" w:rsidRPr="002802EA">
        <w:t>taking into</w:t>
      </w:r>
      <w:r w:rsidR="00194EA2" w:rsidRPr="002802EA">
        <w:t xml:space="preserve"> account</w:t>
      </w:r>
      <w:proofErr w:type="gramEnd"/>
      <w:r w:rsidR="00194EA2" w:rsidRPr="002802EA">
        <w:t xml:space="preserve"> both household changes and the ageing of the population:</w:t>
      </w:r>
    </w:p>
    <w:p w14:paraId="7180CFAC" w14:textId="77777777" w:rsidR="002802EA" w:rsidRDefault="002802EA" w:rsidP="00194EA2">
      <w:pPr>
        <w:autoSpaceDE w:val="0"/>
        <w:autoSpaceDN w:val="0"/>
        <w:adjustRightInd w:val="0"/>
        <w:rPr>
          <w:rFonts w:ascii="CIDFont+F2" w:hAnsi="CIDFont+F2" w:cs="CIDFont+F2"/>
          <w:sz w:val="20"/>
          <w:lang w:eastAsia="en-GB"/>
        </w:rPr>
      </w:pPr>
    </w:p>
    <w:tbl>
      <w:tblPr>
        <w:tblStyle w:val="TableGrid"/>
        <w:tblW w:w="0" w:type="auto"/>
        <w:tblLook w:val="04A0" w:firstRow="1" w:lastRow="0" w:firstColumn="1" w:lastColumn="0" w:noHBand="0" w:noVBand="1"/>
      </w:tblPr>
      <w:tblGrid>
        <w:gridCol w:w="1890"/>
        <w:gridCol w:w="1890"/>
        <w:gridCol w:w="1890"/>
        <w:gridCol w:w="1890"/>
        <w:gridCol w:w="1890"/>
      </w:tblGrid>
      <w:tr w:rsidR="002802EA" w14:paraId="10B13412" w14:textId="77777777" w:rsidTr="002802EA">
        <w:tc>
          <w:tcPr>
            <w:tcW w:w="1890" w:type="dxa"/>
          </w:tcPr>
          <w:p w14:paraId="75ABDD36" w14:textId="77777777" w:rsidR="002802EA" w:rsidRDefault="009900A3" w:rsidP="00194EA2">
            <w:pPr>
              <w:autoSpaceDE w:val="0"/>
              <w:autoSpaceDN w:val="0"/>
              <w:adjustRightInd w:val="0"/>
              <w:rPr>
                <w:rFonts w:ascii="CIDFont+F2" w:hAnsi="CIDFont+F2" w:cs="CIDFont+F2"/>
                <w:sz w:val="20"/>
                <w:lang w:eastAsia="en-GB"/>
              </w:rPr>
            </w:pPr>
            <w:r w:rsidRPr="009900A3">
              <w:rPr>
                <w:rFonts w:ascii="CIDFont+F2" w:hAnsi="CIDFont+F2" w:cs="CIDFont+F2"/>
                <w:b/>
                <w:sz w:val="20"/>
                <w:lang w:eastAsia="en-GB"/>
              </w:rPr>
              <w:t>Housing Tenure</w:t>
            </w:r>
          </w:p>
        </w:tc>
        <w:tc>
          <w:tcPr>
            <w:tcW w:w="1890" w:type="dxa"/>
          </w:tcPr>
          <w:p w14:paraId="5D5257D4" w14:textId="77777777" w:rsidR="002802EA" w:rsidRPr="002802EA" w:rsidRDefault="002802EA" w:rsidP="002802EA">
            <w:pPr>
              <w:autoSpaceDE w:val="0"/>
              <w:autoSpaceDN w:val="0"/>
              <w:adjustRightInd w:val="0"/>
              <w:jc w:val="center"/>
              <w:rPr>
                <w:rFonts w:ascii="CIDFont+F2" w:hAnsi="CIDFont+F2" w:cs="CIDFont+F2"/>
                <w:b/>
                <w:sz w:val="20"/>
                <w:lang w:eastAsia="en-GB"/>
              </w:rPr>
            </w:pPr>
            <w:r w:rsidRPr="002802EA">
              <w:rPr>
                <w:rFonts w:ascii="CIDFont+F2" w:hAnsi="CIDFont+F2" w:cs="CIDFont+F2"/>
                <w:b/>
                <w:sz w:val="20"/>
                <w:lang w:eastAsia="en-GB"/>
              </w:rPr>
              <w:t>1 bedroom</w:t>
            </w:r>
          </w:p>
        </w:tc>
        <w:tc>
          <w:tcPr>
            <w:tcW w:w="1890" w:type="dxa"/>
          </w:tcPr>
          <w:p w14:paraId="3B00398E" w14:textId="77777777" w:rsidR="002802EA" w:rsidRPr="002802EA" w:rsidRDefault="002802EA" w:rsidP="002802EA">
            <w:pPr>
              <w:autoSpaceDE w:val="0"/>
              <w:autoSpaceDN w:val="0"/>
              <w:adjustRightInd w:val="0"/>
              <w:jc w:val="center"/>
              <w:rPr>
                <w:rFonts w:ascii="CIDFont+F2" w:hAnsi="CIDFont+F2" w:cs="CIDFont+F2"/>
                <w:b/>
                <w:sz w:val="20"/>
                <w:lang w:eastAsia="en-GB"/>
              </w:rPr>
            </w:pPr>
            <w:r w:rsidRPr="002802EA">
              <w:rPr>
                <w:rFonts w:ascii="CIDFont+F2" w:hAnsi="CIDFont+F2" w:cs="CIDFont+F2"/>
                <w:b/>
                <w:sz w:val="20"/>
                <w:lang w:eastAsia="en-GB"/>
              </w:rPr>
              <w:t>2 bedrooms</w:t>
            </w:r>
          </w:p>
        </w:tc>
        <w:tc>
          <w:tcPr>
            <w:tcW w:w="1890" w:type="dxa"/>
          </w:tcPr>
          <w:p w14:paraId="12ACD8C0" w14:textId="77777777" w:rsidR="002802EA" w:rsidRPr="002802EA" w:rsidRDefault="002802EA" w:rsidP="002802EA">
            <w:pPr>
              <w:autoSpaceDE w:val="0"/>
              <w:autoSpaceDN w:val="0"/>
              <w:adjustRightInd w:val="0"/>
              <w:jc w:val="center"/>
              <w:rPr>
                <w:rFonts w:ascii="CIDFont+F2" w:hAnsi="CIDFont+F2" w:cs="CIDFont+F2"/>
                <w:b/>
                <w:sz w:val="20"/>
                <w:lang w:eastAsia="en-GB"/>
              </w:rPr>
            </w:pPr>
            <w:r w:rsidRPr="002802EA">
              <w:rPr>
                <w:rFonts w:ascii="CIDFont+F2" w:hAnsi="CIDFont+F2" w:cs="CIDFont+F2"/>
                <w:b/>
                <w:sz w:val="20"/>
                <w:lang w:eastAsia="en-GB"/>
              </w:rPr>
              <w:t>3 bedrooms</w:t>
            </w:r>
          </w:p>
        </w:tc>
        <w:tc>
          <w:tcPr>
            <w:tcW w:w="1890" w:type="dxa"/>
          </w:tcPr>
          <w:p w14:paraId="0C040144" w14:textId="77777777" w:rsidR="002802EA" w:rsidRPr="002802EA" w:rsidRDefault="002802EA" w:rsidP="002802EA">
            <w:pPr>
              <w:autoSpaceDE w:val="0"/>
              <w:autoSpaceDN w:val="0"/>
              <w:adjustRightInd w:val="0"/>
              <w:jc w:val="center"/>
              <w:rPr>
                <w:rFonts w:ascii="CIDFont+F2" w:hAnsi="CIDFont+F2" w:cs="CIDFont+F2"/>
                <w:b/>
                <w:sz w:val="20"/>
                <w:lang w:eastAsia="en-GB"/>
              </w:rPr>
            </w:pPr>
            <w:r w:rsidRPr="002802EA">
              <w:rPr>
                <w:rFonts w:ascii="CIDFont+F2" w:hAnsi="CIDFont+F2" w:cs="CIDFont+F2"/>
                <w:b/>
                <w:sz w:val="20"/>
                <w:lang w:eastAsia="en-GB"/>
              </w:rPr>
              <w:t>4+ bedrooms</w:t>
            </w:r>
          </w:p>
        </w:tc>
      </w:tr>
      <w:tr w:rsidR="002802EA" w14:paraId="28AD7501" w14:textId="77777777" w:rsidTr="002802EA">
        <w:tc>
          <w:tcPr>
            <w:tcW w:w="1890" w:type="dxa"/>
          </w:tcPr>
          <w:p w14:paraId="79274A03" w14:textId="77777777" w:rsidR="002802EA" w:rsidRPr="00AE578E" w:rsidRDefault="002802EA" w:rsidP="00194EA2">
            <w:pPr>
              <w:autoSpaceDE w:val="0"/>
              <w:autoSpaceDN w:val="0"/>
              <w:adjustRightInd w:val="0"/>
              <w:rPr>
                <w:rFonts w:ascii="CIDFont+F2" w:hAnsi="CIDFont+F2" w:cs="CIDFont+F2"/>
                <w:b/>
                <w:sz w:val="20"/>
                <w:lang w:eastAsia="en-GB"/>
              </w:rPr>
            </w:pPr>
            <w:r w:rsidRPr="00AE578E">
              <w:rPr>
                <w:rFonts w:ascii="CIDFont+F2" w:hAnsi="CIDFont+F2" w:cs="CIDFont+F2"/>
                <w:b/>
                <w:sz w:val="20"/>
                <w:lang w:eastAsia="en-GB"/>
              </w:rPr>
              <w:t>Market</w:t>
            </w:r>
          </w:p>
        </w:tc>
        <w:tc>
          <w:tcPr>
            <w:tcW w:w="1890" w:type="dxa"/>
          </w:tcPr>
          <w:p w14:paraId="734F4D1F" w14:textId="77777777" w:rsidR="002802EA" w:rsidRDefault="002802EA"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5%</w:t>
            </w:r>
          </w:p>
        </w:tc>
        <w:tc>
          <w:tcPr>
            <w:tcW w:w="1890" w:type="dxa"/>
          </w:tcPr>
          <w:p w14:paraId="444E9E2A" w14:textId="77777777" w:rsidR="002802EA" w:rsidRDefault="002802EA"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30%</w:t>
            </w:r>
          </w:p>
        </w:tc>
        <w:tc>
          <w:tcPr>
            <w:tcW w:w="1890" w:type="dxa"/>
          </w:tcPr>
          <w:p w14:paraId="17168D7F" w14:textId="77777777" w:rsidR="002802EA" w:rsidRDefault="002802EA"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45%</w:t>
            </w:r>
          </w:p>
        </w:tc>
        <w:tc>
          <w:tcPr>
            <w:tcW w:w="1890" w:type="dxa"/>
          </w:tcPr>
          <w:p w14:paraId="573F0B9D" w14:textId="77777777" w:rsidR="002802EA" w:rsidRDefault="002802EA"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20%</w:t>
            </w:r>
          </w:p>
        </w:tc>
      </w:tr>
      <w:tr w:rsidR="002802EA" w14:paraId="66E310AD" w14:textId="77777777" w:rsidTr="002802EA">
        <w:tc>
          <w:tcPr>
            <w:tcW w:w="1890" w:type="dxa"/>
          </w:tcPr>
          <w:p w14:paraId="216E8194" w14:textId="77777777" w:rsidR="002802EA" w:rsidRPr="00AE578E" w:rsidRDefault="002802EA" w:rsidP="00194EA2">
            <w:pPr>
              <w:autoSpaceDE w:val="0"/>
              <w:autoSpaceDN w:val="0"/>
              <w:adjustRightInd w:val="0"/>
              <w:rPr>
                <w:rFonts w:ascii="CIDFont+F2" w:hAnsi="CIDFont+F2" w:cs="CIDFont+F2"/>
                <w:b/>
                <w:sz w:val="20"/>
                <w:lang w:eastAsia="en-GB"/>
              </w:rPr>
            </w:pPr>
            <w:r w:rsidRPr="00AE578E">
              <w:rPr>
                <w:rFonts w:ascii="CIDFont+F2" w:hAnsi="CIDFont+F2" w:cs="CIDFont+F2"/>
                <w:b/>
                <w:sz w:val="20"/>
                <w:lang w:eastAsia="en-GB"/>
              </w:rPr>
              <w:t>Affordable Home Ownership</w:t>
            </w:r>
          </w:p>
        </w:tc>
        <w:tc>
          <w:tcPr>
            <w:tcW w:w="1890" w:type="dxa"/>
          </w:tcPr>
          <w:p w14:paraId="276DD8EB" w14:textId="77777777" w:rsidR="002802EA" w:rsidRDefault="002802EA"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25%</w:t>
            </w:r>
          </w:p>
        </w:tc>
        <w:tc>
          <w:tcPr>
            <w:tcW w:w="1890" w:type="dxa"/>
          </w:tcPr>
          <w:p w14:paraId="3C277428" w14:textId="77777777" w:rsidR="002802EA" w:rsidRDefault="002802EA"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40%</w:t>
            </w:r>
          </w:p>
        </w:tc>
        <w:tc>
          <w:tcPr>
            <w:tcW w:w="1890" w:type="dxa"/>
          </w:tcPr>
          <w:p w14:paraId="509FF2A1" w14:textId="77777777" w:rsidR="002802EA" w:rsidRDefault="002802EA"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30%</w:t>
            </w:r>
          </w:p>
        </w:tc>
        <w:tc>
          <w:tcPr>
            <w:tcW w:w="1890" w:type="dxa"/>
          </w:tcPr>
          <w:p w14:paraId="232BEAFF" w14:textId="77777777" w:rsidR="002802EA" w:rsidRDefault="002802EA"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5%</w:t>
            </w:r>
          </w:p>
        </w:tc>
      </w:tr>
      <w:tr w:rsidR="002802EA" w14:paraId="7E72F273" w14:textId="77777777" w:rsidTr="002802EA">
        <w:tc>
          <w:tcPr>
            <w:tcW w:w="1890" w:type="dxa"/>
          </w:tcPr>
          <w:p w14:paraId="3003A719" w14:textId="77777777" w:rsidR="002802EA" w:rsidRPr="00AE578E" w:rsidRDefault="002802EA" w:rsidP="00194EA2">
            <w:pPr>
              <w:autoSpaceDE w:val="0"/>
              <w:autoSpaceDN w:val="0"/>
              <w:adjustRightInd w:val="0"/>
              <w:rPr>
                <w:rFonts w:ascii="CIDFont+F2" w:hAnsi="CIDFont+F2" w:cs="CIDFont+F2"/>
                <w:b/>
                <w:sz w:val="20"/>
                <w:lang w:eastAsia="en-GB"/>
              </w:rPr>
            </w:pPr>
            <w:r w:rsidRPr="00AE578E">
              <w:rPr>
                <w:rFonts w:ascii="CIDFont+F2" w:hAnsi="CIDFont+F2" w:cs="CIDFont+F2"/>
                <w:b/>
                <w:sz w:val="20"/>
                <w:lang w:eastAsia="en-GB"/>
              </w:rPr>
              <w:t>Affordable Housing (Rented)</w:t>
            </w:r>
          </w:p>
        </w:tc>
        <w:tc>
          <w:tcPr>
            <w:tcW w:w="1890" w:type="dxa"/>
          </w:tcPr>
          <w:p w14:paraId="172E334A" w14:textId="77777777" w:rsidR="002802EA" w:rsidRDefault="002802EA"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35%</w:t>
            </w:r>
          </w:p>
        </w:tc>
        <w:tc>
          <w:tcPr>
            <w:tcW w:w="1890" w:type="dxa"/>
          </w:tcPr>
          <w:p w14:paraId="6272631D" w14:textId="77777777" w:rsidR="002802EA" w:rsidRDefault="002802EA"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30%</w:t>
            </w:r>
          </w:p>
        </w:tc>
        <w:tc>
          <w:tcPr>
            <w:tcW w:w="1890" w:type="dxa"/>
          </w:tcPr>
          <w:p w14:paraId="59514971" w14:textId="77777777" w:rsidR="002802EA" w:rsidRDefault="002802EA"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30%</w:t>
            </w:r>
          </w:p>
        </w:tc>
        <w:tc>
          <w:tcPr>
            <w:tcW w:w="1890" w:type="dxa"/>
          </w:tcPr>
          <w:p w14:paraId="1E7B6233" w14:textId="77777777" w:rsidR="002802EA" w:rsidRDefault="00AE578E" w:rsidP="00AE578E">
            <w:pPr>
              <w:autoSpaceDE w:val="0"/>
              <w:autoSpaceDN w:val="0"/>
              <w:adjustRightInd w:val="0"/>
              <w:jc w:val="center"/>
              <w:rPr>
                <w:rFonts w:ascii="CIDFont+F2" w:hAnsi="CIDFont+F2" w:cs="CIDFont+F2"/>
                <w:sz w:val="20"/>
                <w:lang w:eastAsia="en-GB"/>
              </w:rPr>
            </w:pPr>
            <w:r>
              <w:rPr>
                <w:rFonts w:ascii="CIDFont+F2" w:hAnsi="CIDFont+F2" w:cs="CIDFont+F2"/>
                <w:sz w:val="20"/>
                <w:lang w:eastAsia="en-GB"/>
              </w:rPr>
              <w:t>5%</w:t>
            </w:r>
          </w:p>
        </w:tc>
      </w:tr>
    </w:tbl>
    <w:p w14:paraId="1ACC2143" w14:textId="77777777" w:rsidR="002802EA" w:rsidRDefault="002802EA" w:rsidP="00194EA2">
      <w:pPr>
        <w:autoSpaceDE w:val="0"/>
        <w:autoSpaceDN w:val="0"/>
        <w:adjustRightInd w:val="0"/>
        <w:rPr>
          <w:rFonts w:ascii="CIDFont+F2" w:hAnsi="CIDFont+F2" w:cs="CIDFont+F2"/>
          <w:sz w:val="20"/>
          <w:lang w:eastAsia="en-GB"/>
        </w:rPr>
      </w:pPr>
    </w:p>
    <w:p w14:paraId="2424C801" w14:textId="1F704DC3" w:rsidR="002802EA" w:rsidRPr="00910C07" w:rsidRDefault="005C76A5" w:rsidP="00194EA2">
      <w:pPr>
        <w:autoSpaceDE w:val="0"/>
        <w:autoSpaceDN w:val="0"/>
        <w:adjustRightInd w:val="0"/>
      </w:pPr>
      <w:r>
        <w:t>2.</w:t>
      </w:r>
      <w:r w:rsidR="00527114">
        <w:t>3</w:t>
      </w:r>
      <w:r w:rsidR="004436CC">
        <w:t>4</w:t>
      </w:r>
      <w:r>
        <w:tab/>
      </w:r>
      <w:r w:rsidR="00AE578E" w:rsidRPr="00910C07">
        <w:t xml:space="preserve">This mix is considered largely applicable to all parts of the borough, although in Bootle/Netherton there is likely to be a greater demand for </w:t>
      </w:r>
      <w:proofErr w:type="gramStart"/>
      <w:r w:rsidR="00AE578E" w:rsidRPr="00910C07">
        <w:t>1 bedroom</w:t>
      </w:r>
      <w:proofErr w:type="gramEnd"/>
      <w:r w:rsidR="00AE578E" w:rsidRPr="00910C07">
        <w:t xml:space="preserve"> affordable rented properties.</w:t>
      </w:r>
    </w:p>
    <w:p w14:paraId="32199ED6" w14:textId="77777777" w:rsidR="00AE578E" w:rsidRPr="00910C07" w:rsidRDefault="00AE578E" w:rsidP="00194EA2">
      <w:pPr>
        <w:autoSpaceDE w:val="0"/>
        <w:autoSpaceDN w:val="0"/>
        <w:adjustRightInd w:val="0"/>
      </w:pPr>
    </w:p>
    <w:p w14:paraId="1BEF54BB" w14:textId="41C7F367" w:rsidR="00AE578E" w:rsidRPr="00910C07" w:rsidRDefault="005C76A5" w:rsidP="00194EA2">
      <w:pPr>
        <w:autoSpaceDE w:val="0"/>
        <w:autoSpaceDN w:val="0"/>
        <w:adjustRightInd w:val="0"/>
      </w:pPr>
      <w:r>
        <w:t>2.3</w:t>
      </w:r>
      <w:r w:rsidR="004436CC">
        <w:t>5</w:t>
      </w:r>
      <w:r>
        <w:tab/>
      </w:r>
      <w:r w:rsidR="00AE578E" w:rsidRPr="00910C07">
        <w:t>The suggested mix above is compatible to the housing mix requirement for market homes set out in Policy HC2 of the Sefton Local Plan. This policy requires a minimum of 25% of market homes to have 1 or 2 bedrooms and a minimum of 40% of market homes to have 3 bedrooms. Based on the findings above it is not suggested that the current Local Plan policy is amended in relation to market homes but that the po</w:t>
      </w:r>
      <w:r w:rsidR="00545447" w:rsidRPr="00910C07">
        <w:t>licy is regularly monitored.</w:t>
      </w:r>
      <w:r w:rsidR="00AE578E" w:rsidRPr="00910C07">
        <w:t xml:space="preserve"> </w:t>
      </w:r>
    </w:p>
    <w:p w14:paraId="47924D5E" w14:textId="77777777" w:rsidR="00545447" w:rsidRPr="00910C07" w:rsidRDefault="00545447" w:rsidP="00194EA2">
      <w:pPr>
        <w:autoSpaceDE w:val="0"/>
        <w:autoSpaceDN w:val="0"/>
        <w:adjustRightInd w:val="0"/>
      </w:pPr>
    </w:p>
    <w:p w14:paraId="52AEFB45" w14:textId="37E5CDAB" w:rsidR="00545447" w:rsidRPr="00910C07" w:rsidRDefault="005C76A5" w:rsidP="00194EA2">
      <w:pPr>
        <w:autoSpaceDE w:val="0"/>
        <w:autoSpaceDN w:val="0"/>
        <w:adjustRightInd w:val="0"/>
      </w:pPr>
      <w:r>
        <w:t>2.3</w:t>
      </w:r>
      <w:r w:rsidR="004436CC">
        <w:t>6</w:t>
      </w:r>
      <w:r>
        <w:tab/>
      </w:r>
      <w:r w:rsidR="0093492D" w:rsidRPr="00910C07">
        <w:t>For affordable housing the Council do</w:t>
      </w:r>
      <w:r w:rsidR="004772C8">
        <w:t>es</w:t>
      </w:r>
      <w:r w:rsidR="0093492D" w:rsidRPr="00910C07">
        <w:t xml:space="preserve"> not currently require a specific housing mix. The Council </w:t>
      </w:r>
      <w:r w:rsidR="006A78DD" w:rsidRPr="00910C07">
        <w:t>instead</w:t>
      </w:r>
      <w:r w:rsidR="0093492D" w:rsidRPr="00910C07">
        <w:t xml:space="preserve"> sought to control</w:t>
      </w:r>
      <w:r w:rsidR="006A78DD" w:rsidRPr="00910C07">
        <w:t xml:space="preserve"> the amount and type of affordable homes through the application of bed spaces for the basis of calculating the total number sought. The intent behind this was to ensure that the Council secure 30% of the total scheme as affordable homes and to prevent developers putting all the affordable homes into one bedroom units to maximise income. However, the application of this policy has had unintended consequences and </w:t>
      </w:r>
      <w:r w:rsidR="009900A3">
        <w:t xml:space="preserve">on occasion </w:t>
      </w:r>
      <w:r w:rsidR="006A78DD" w:rsidRPr="00910C07">
        <w:t>the size of the affordable housing units do not necessarily meet the need</w:t>
      </w:r>
      <w:r w:rsidR="009900A3">
        <w:t>.</w:t>
      </w:r>
      <w:r w:rsidR="006A78DD" w:rsidRPr="00910C07">
        <w:t xml:space="preserve"> </w:t>
      </w:r>
      <w:proofErr w:type="gramStart"/>
      <w:r w:rsidR="009900A3">
        <w:t>I</w:t>
      </w:r>
      <w:r w:rsidR="006A78DD" w:rsidRPr="00910C07">
        <w:t>n particular</w:t>
      </w:r>
      <w:r w:rsidR="003271E0" w:rsidRPr="003271E0">
        <w:t>, to</w:t>
      </w:r>
      <w:proofErr w:type="gramEnd"/>
      <w:r w:rsidR="003271E0" w:rsidRPr="003271E0">
        <w:t xml:space="preserve"> minimise affordable housing units, </w:t>
      </w:r>
      <w:r w:rsidR="006A78DD" w:rsidRPr="00910C07">
        <w:t>there have been too many four</w:t>
      </w:r>
      <w:r w:rsidR="003271E0">
        <w:t>-</w:t>
      </w:r>
      <w:r w:rsidR="006A78DD" w:rsidRPr="00910C07">
        <w:t>bedroom homes provided as affordable</w:t>
      </w:r>
      <w:r w:rsidR="009900A3">
        <w:t xml:space="preserve"> homes when the need is for smaller units</w:t>
      </w:r>
      <w:r w:rsidR="006A78DD" w:rsidRPr="00910C07">
        <w:t xml:space="preserve">. </w:t>
      </w:r>
    </w:p>
    <w:p w14:paraId="1DEA6407" w14:textId="77777777" w:rsidR="006A78DD" w:rsidRDefault="006A78DD" w:rsidP="00194EA2">
      <w:pPr>
        <w:autoSpaceDE w:val="0"/>
        <w:autoSpaceDN w:val="0"/>
        <w:adjustRightInd w:val="0"/>
        <w:rPr>
          <w:rFonts w:ascii="CIDFont+F2" w:hAnsi="CIDFont+F2" w:cs="CIDFont+F2"/>
          <w:sz w:val="20"/>
          <w:lang w:eastAsia="en-GB"/>
        </w:rPr>
      </w:pPr>
    </w:p>
    <w:p w14:paraId="440C31D7" w14:textId="2AE33052" w:rsidR="006A78DD" w:rsidRPr="00910C07" w:rsidRDefault="005C76A5" w:rsidP="00194EA2">
      <w:pPr>
        <w:autoSpaceDE w:val="0"/>
        <w:autoSpaceDN w:val="0"/>
        <w:adjustRightInd w:val="0"/>
      </w:pPr>
      <w:r>
        <w:t>2.3</w:t>
      </w:r>
      <w:r w:rsidR="004436CC">
        <w:t>7</w:t>
      </w:r>
      <w:r>
        <w:tab/>
      </w:r>
      <w:r w:rsidR="006A78DD" w:rsidRPr="00910C07">
        <w:t>The SHMA update recommends tha</w:t>
      </w:r>
      <w:r w:rsidR="00EF7094" w:rsidRPr="00910C07">
        <w:t>t</w:t>
      </w:r>
      <w:r w:rsidR="006A78DD" w:rsidRPr="00910C07">
        <w:t xml:space="preserve"> the Council consider </w:t>
      </w:r>
      <w:r w:rsidR="00EF7094" w:rsidRPr="00910C07">
        <w:t>linking its affordable housing policies to units rather than bed</w:t>
      </w:r>
      <w:r w:rsidR="00A157FF" w:rsidRPr="00910C07">
        <w:t xml:space="preserve"> </w:t>
      </w:r>
      <w:r w:rsidR="00EF7094" w:rsidRPr="00910C07">
        <w:t>spaces This would also bring it into line with the governments approach set out in relation to affordable home ownership.</w:t>
      </w:r>
      <w:r w:rsidR="00A157FF" w:rsidRPr="00910C07">
        <w:t xml:space="preserve"> </w:t>
      </w:r>
      <w:r w:rsidR="00EF7094" w:rsidRPr="00910C07">
        <w:t>If the Council w</w:t>
      </w:r>
      <w:r w:rsidR="00A157FF" w:rsidRPr="00910C07">
        <w:t>e</w:t>
      </w:r>
      <w:r w:rsidR="00EF7094" w:rsidRPr="00910C07">
        <w:t xml:space="preserve">re to do this it would need to introduce a policy to secure a </w:t>
      </w:r>
      <w:r w:rsidR="00A157FF" w:rsidRPr="00910C07">
        <w:t>reasonable</w:t>
      </w:r>
      <w:r w:rsidR="00EF7094" w:rsidRPr="00910C07">
        <w:t xml:space="preserve"> mix o</w:t>
      </w:r>
      <w:r w:rsidR="00A157FF" w:rsidRPr="00910C07">
        <w:t>f size of homes for affordable</w:t>
      </w:r>
      <w:r w:rsidR="00EF7094" w:rsidRPr="00910C07">
        <w:t xml:space="preserve"> housing in a similar vein to market homes</w:t>
      </w:r>
      <w:r w:rsidR="00A157FF" w:rsidRPr="00910C07">
        <w:t>, based on the table above</w:t>
      </w:r>
      <w:r w:rsidR="00B508CB">
        <w:t>.</w:t>
      </w:r>
      <w:r w:rsidR="003271E0">
        <w:t xml:space="preserve"> This will </w:t>
      </w:r>
      <w:r w:rsidR="008425B8">
        <w:t>be something the Council should consider within a Local Plan review.</w:t>
      </w:r>
    </w:p>
    <w:p w14:paraId="22E0E205" w14:textId="77777777" w:rsidR="00194EA2" w:rsidRDefault="00194EA2" w:rsidP="00E73C8E">
      <w:pPr>
        <w:autoSpaceDE w:val="0"/>
        <w:autoSpaceDN w:val="0"/>
        <w:adjustRightInd w:val="0"/>
      </w:pPr>
    </w:p>
    <w:p w14:paraId="284B9649" w14:textId="77777777" w:rsidR="00E73C8E" w:rsidRPr="00E73C8E" w:rsidRDefault="00E73C8E" w:rsidP="00E73C8E">
      <w:pPr>
        <w:autoSpaceDE w:val="0"/>
        <w:autoSpaceDN w:val="0"/>
        <w:adjustRightInd w:val="0"/>
        <w:rPr>
          <w:u w:val="single"/>
        </w:rPr>
      </w:pPr>
      <w:r w:rsidRPr="00E73C8E">
        <w:rPr>
          <w:u w:val="single"/>
        </w:rPr>
        <w:t>Older People and People with disabilities</w:t>
      </w:r>
    </w:p>
    <w:p w14:paraId="76D13865" w14:textId="77777777" w:rsidR="00E73C8E" w:rsidRDefault="00E73C8E" w:rsidP="00E73C8E">
      <w:pPr>
        <w:autoSpaceDE w:val="0"/>
        <w:autoSpaceDN w:val="0"/>
        <w:adjustRightInd w:val="0"/>
      </w:pPr>
    </w:p>
    <w:p w14:paraId="536D7EA4" w14:textId="6166C5E8" w:rsidR="00E73C8E" w:rsidRDefault="005C76A5" w:rsidP="00910C07">
      <w:pPr>
        <w:autoSpaceDE w:val="0"/>
        <w:autoSpaceDN w:val="0"/>
        <w:adjustRightInd w:val="0"/>
      </w:pPr>
      <w:r>
        <w:t>2.3</w:t>
      </w:r>
      <w:r w:rsidR="004436CC">
        <w:t>8</w:t>
      </w:r>
      <w:r>
        <w:tab/>
      </w:r>
      <w:r w:rsidR="00910C07" w:rsidRPr="00910C07">
        <w:t xml:space="preserve">The SHMA update has identified that in general, Sefton has higher levels </w:t>
      </w:r>
      <w:r w:rsidR="006C6411">
        <w:t xml:space="preserve">of </w:t>
      </w:r>
      <w:r w:rsidR="00910C07" w:rsidRPr="00910C07">
        <w:t xml:space="preserve">older people and </w:t>
      </w:r>
      <w:r w:rsidR="00910C07">
        <w:t>people with a</w:t>
      </w:r>
      <w:r w:rsidR="00910C07" w:rsidRPr="00910C07">
        <w:t xml:space="preserve"> disability compared with other areas, and that an ageing population means that the number of people with disabilities is likely to increase substantially in the future.</w:t>
      </w:r>
      <w:r w:rsidR="00910C07">
        <w:t xml:space="preserve"> Key findings include:</w:t>
      </w:r>
    </w:p>
    <w:p w14:paraId="2AA02E79" w14:textId="77777777" w:rsidR="00910C07" w:rsidRDefault="00910C07" w:rsidP="00910C07">
      <w:pPr>
        <w:autoSpaceDE w:val="0"/>
        <w:autoSpaceDN w:val="0"/>
        <w:adjustRightInd w:val="0"/>
      </w:pPr>
    </w:p>
    <w:p w14:paraId="5E23AA14" w14:textId="77777777" w:rsidR="00910C07" w:rsidRPr="005E3548" w:rsidRDefault="00910C07" w:rsidP="005E3548">
      <w:pPr>
        <w:pStyle w:val="ListParagraph"/>
        <w:numPr>
          <w:ilvl w:val="0"/>
          <w:numId w:val="14"/>
        </w:numPr>
        <w:autoSpaceDE w:val="0"/>
        <w:autoSpaceDN w:val="0"/>
        <w:adjustRightInd w:val="0"/>
      </w:pPr>
      <w:r w:rsidRPr="005E3548">
        <w:t>33% increase in the population aged 65+ over 2017-2036 (potentia</w:t>
      </w:r>
      <w:r w:rsidR="005E3548">
        <w:t xml:space="preserve">lly accounting for over 100% of </w:t>
      </w:r>
      <w:r w:rsidRPr="005E3548">
        <w:t>total population growth);</w:t>
      </w:r>
    </w:p>
    <w:p w14:paraId="19409E1B" w14:textId="77777777" w:rsidR="00910C07" w:rsidRPr="005E3548" w:rsidRDefault="00910C07" w:rsidP="009900A3">
      <w:pPr>
        <w:pStyle w:val="ListParagraph"/>
        <w:numPr>
          <w:ilvl w:val="0"/>
          <w:numId w:val="12"/>
        </w:numPr>
        <w:autoSpaceDE w:val="0"/>
        <w:autoSpaceDN w:val="0"/>
        <w:adjustRightInd w:val="0"/>
      </w:pPr>
      <w:r w:rsidRPr="005E3548">
        <w:t>A need for additional sheltered/retirement housing (currently in the leasehold sector but also for rent</w:t>
      </w:r>
      <w:r w:rsidR="009900A3">
        <w:t xml:space="preserve"> </w:t>
      </w:r>
      <w:r w:rsidRPr="005E3548">
        <w:t>in the future)</w:t>
      </w:r>
    </w:p>
    <w:p w14:paraId="5EFE274E" w14:textId="77777777" w:rsidR="00910C07" w:rsidRPr="005E3548" w:rsidRDefault="00910C07" w:rsidP="009900A3">
      <w:pPr>
        <w:pStyle w:val="ListParagraph"/>
        <w:numPr>
          <w:ilvl w:val="0"/>
          <w:numId w:val="13"/>
        </w:numPr>
        <w:autoSpaceDE w:val="0"/>
        <w:autoSpaceDN w:val="0"/>
        <w:adjustRightInd w:val="0"/>
      </w:pPr>
      <w:r w:rsidRPr="005E3548">
        <w:t>A current and future need for housing with care (enhanced sheltered and extra-care housing) in both</w:t>
      </w:r>
      <w:r w:rsidR="009900A3">
        <w:t xml:space="preserve"> </w:t>
      </w:r>
      <w:r w:rsidRPr="005E3548">
        <w:t>the rented and leasehold sectors;</w:t>
      </w:r>
    </w:p>
    <w:p w14:paraId="5736CFB3" w14:textId="77777777" w:rsidR="00910C07" w:rsidRPr="005E3548" w:rsidRDefault="00910C07" w:rsidP="005E3548">
      <w:pPr>
        <w:pStyle w:val="ListParagraph"/>
        <w:numPr>
          <w:ilvl w:val="0"/>
          <w:numId w:val="13"/>
        </w:numPr>
        <w:autoSpaceDE w:val="0"/>
        <w:autoSpaceDN w:val="0"/>
        <w:adjustRightInd w:val="0"/>
      </w:pPr>
      <w:r w:rsidRPr="005E3548">
        <w:t xml:space="preserve">A need for additional care </w:t>
      </w:r>
      <w:proofErr w:type="spellStart"/>
      <w:r w:rsidRPr="005E3548">
        <w:t>bedspaces</w:t>
      </w:r>
      <w:proofErr w:type="spellEnd"/>
      <w:r w:rsidRPr="005E3548">
        <w:t>; and</w:t>
      </w:r>
    </w:p>
    <w:p w14:paraId="6CCAE33C" w14:textId="77777777" w:rsidR="00910C07" w:rsidRPr="00910C07" w:rsidRDefault="00910C07" w:rsidP="005E3548">
      <w:pPr>
        <w:pStyle w:val="ListParagraph"/>
        <w:numPr>
          <w:ilvl w:val="0"/>
          <w:numId w:val="13"/>
        </w:numPr>
        <w:autoSpaceDE w:val="0"/>
        <w:autoSpaceDN w:val="0"/>
        <w:adjustRightInd w:val="0"/>
      </w:pPr>
      <w:r w:rsidRPr="005E3548">
        <w:t>a need for up to 780 dwellings to be for wheelchair users (meeting technical standard M4(3))</w:t>
      </w:r>
    </w:p>
    <w:p w14:paraId="3E7C7380" w14:textId="77777777" w:rsidR="00910C07" w:rsidRDefault="00910C07" w:rsidP="00E73C8E">
      <w:pPr>
        <w:autoSpaceDE w:val="0"/>
        <w:autoSpaceDN w:val="0"/>
        <w:adjustRightInd w:val="0"/>
      </w:pPr>
    </w:p>
    <w:p w14:paraId="4767D555" w14:textId="61D97F96" w:rsidR="005E3548" w:rsidRDefault="005C76A5" w:rsidP="005E3548">
      <w:pPr>
        <w:autoSpaceDE w:val="0"/>
        <w:autoSpaceDN w:val="0"/>
        <w:adjustRightInd w:val="0"/>
      </w:pPr>
      <w:r>
        <w:t>2.3</w:t>
      </w:r>
      <w:r w:rsidR="004436CC">
        <w:t>9</w:t>
      </w:r>
      <w:r>
        <w:tab/>
      </w:r>
      <w:r w:rsidR="005E3548" w:rsidRPr="005E3548">
        <w:t xml:space="preserve">The analysis in the SHMA update shows a need for 3,481 dwellings with support or care (equivalent to 183 per annum). These homes are included within the overall need of 645 dwellings per annum and not additional to it. The need for care home </w:t>
      </w:r>
      <w:proofErr w:type="spellStart"/>
      <w:r w:rsidR="005E3548" w:rsidRPr="005E3548">
        <w:t>bedspaces</w:t>
      </w:r>
      <w:proofErr w:type="spellEnd"/>
      <w:r w:rsidR="005E3548" w:rsidRPr="005E3548">
        <w:t xml:space="preserve"> (1,442 – 76 per annum) are however considered to be in addition to the 645 per annum figure. Housing with support/care (e.g. sheltered/extra-care) should therefore be counted against the housing supply, even if such accommodation is classified as being in a C2 use class.</w:t>
      </w:r>
    </w:p>
    <w:p w14:paraId="757003EE" w14:textId="77777777" w:rsidR="00663255" w:rsidRDefault="00663255" w:rsidP="005E3548">
      <w:pPr>
        <w:autoSpaceDE w:val="0"/>
        <w:autoSpaceDN w:val="0"/>
        <w:adjustRightInd w:val="0"/>
      </w:pPr>
    </w:p>
    <w:p w14:paraId="6553AA6F" w14:textId="565C5EBF" w:rsidR="00663255" w:rsidRPr="005E3548" w:rsidRDefault="005C76A5" w:rsidP="005E3548">
      <w:pPr>
        <w:autoSpaceDE w:val="0"/>
        <w:autoSpaceDN w:val="0"/>
        <w:adjustRightInd w:val="0"/>
      </w:pPr>
      <w:r>
        <w:lastRenderedPageBreak/>
        <w:t>2.</w:t>
      </w:r>
      <w:r w:rsidR="004436CC">
        <w:t>40</w:t>
      </w:r>
      <w:r>
        <w:tab/>
      </w:r>
      <w:r w:rsidR="009900A3">
        <w:t>Of</w:t>
      </w:r>
      <w:r w:rsidR="00663255">
        <w:t xml:space="preserve"> the </w:t>
      </w:r>
      <w:r w:rsidR="009900A3">
        <w:t>3,481</w:t>
      </w:r>
      <w:r w:rsidR="006C6411">
        <w:t xml:space="preserve"> </w:t>
      </w:r>
      <w:r w:rsidR="00663255">
        <w:t xml:space="preserve">dwellings with </w:t>
      </w:r>
      <w:r w:rsidR="009900A3">
        <w:t xml:space="preserve">support and care requirement there is a need for approximately 1,300 </w:t>
      </w:r>
      <w:r w:rsidR="00663255">
        <w:t>extra care housing</w:t>
      </w:r>
      <w:r w:rsidR="00B36C3E">
        <w:t>.</w:t>
      </w:r>
      <w:r w:rsidR="00663255">
        <w:t xml:space="preserve"> </w:t>
      </w:r>
      <w:r w:rsidR="00B36C3E">
        <w:t>T</w:t>
      </w:r>
      <w:r w:rsidR="00663255">
        <w:t>he SHMA update estimate</w:t>
      </w:r>
      <w:r w:rsidR="00B36C3E">
        <w:t>s</w:t>
      </w:r>
      <w:r w:rsidR="00663255">
        <w:t xml:space="preserve"> that </w:t>
      </w:r>
      <w:r w:rsidR="00B36C3E">
        <w:t xml:space="preserve">in the future </w:t>
      </w:r>
      <w:r w:rsidR="00663255">
        <w:t xml:space="preserve">70% of these </w:t>
      </w:r>
      <w:r w:rsidR="00B36C3E">
        <w:t xml:space="preserve">will need to be in the </w:t>
      </w:r>
      <w:r w:rsidR="00663255">
        <w:t>affordable rent</w:t>
      </w:r>
      <w:r w:rsidR="00B36C3E">
        <w:t xml:space="preserve">ed sector </w:t>
      </w:r>
      <w:r w:rsidR="00663255">
        <w:t>and 30% mark</w:t>
      </w:r>
      <w:r w:rsidR="00B36C3E">
        <w:t xml:space="preserve">et. </w:t>
      </w:r>
      <w:r w:rsidR="00D15A8F">
        <w:t xml:space="preserve">There is no current requirement to seek a proportion of affordable units on extra care schemes and affordable extra care units will </w:t>
      </w:r>
      <w:r w:rsidR="00B36C3E">
        <w:t xml:space="preserve">often </w:t>
      </w:r>
      <w:r w:rsidR="00D15A8F">
        <w:t xml:space="preserve">be provided by the Council or Registered Providers. </w:t>
      </w:r>
      <w:r w:rsidR="00C212F6">
        <w:t>The Council could only introduce a policy to secure a proportion of extra care housing as affordable through a review or partial review of the Local Plan</w:t>
      </w:r>
      <w:r w:rsidR="00B36C3E">
        <w:t xml:space="preserve"> subject to viability testing</w:t>
      </w:r>
      <w:r w:rsidR="00C212F6">
        <w:t xml:space="preserve">. </w:t>
      </w:r>
      <w:r w:rsidR="00D15A8F">
        <w:t xml:space="preserve"> </w:t>
      </w:r>
    </w:p>
    <w:p w14:paraId="55BE5098" w14:textId="77777777" w:rsidR="005E3548" w:rsidRPr="00EB38E7" w:rsidRDefault="005E3548" w:rsidP="00E73C8E">
      <w:pPr>
        <w:autoSpaceDE w:val="0"/>
        <w:autoSpaceDN w:val="0"/>
        <w:adjustRightInd w:val="0"/>
        <w:rPr>
          <w:rFonts w:ascii="CIDFont+F2" w:hAnsi="CIDFont+F2" w:cs="CIDFont+F2"/>
          <w:sz w:val="20"/>
          <w:lang w:eastAsia="en-GB"/>
        </w:rPr>
      </w:pPr>
    </w:p>
    <w:p w14:paraId="0126C31F" w14:textId="43DFDC0B" w:rsidR="005E3548" w:rsidRPr="00EB38E7" w:rsidRDefault="005C76A5" w:rsidP="00EB38E7">
      <w:pPr>
        <w:autoSpaceDE w:val="0"/>
        <w:autoSpaceDN w:val="0"/>
        <w:adjustRightInd w:val="0"/>
      </w:pPr>
      <w:r>
        <w:t>2.</w:t>
      </w:r>
      <w:r w:rsidR="00CC0968">
        <w:t>4</w:t>
      </w:r>
      <w:r w:rsidR="004436CC">
        <w:t>1</w:t>
      </w:r>
      <w:r>
        <w:tab/>
      </w:r>
      <w:r w:rsidR="00EB38E7" w:rsidRPr="00EB38E7">
        <w:t>The SHMA update suggests that there is a clear need to increase the supply of accessible and adaptable</w:t>
      </w:r>
      <w:r w:rsidR="0004605A">
        <w:t xml:space="preserve"> </w:t>
      </w:r>
      <w:r w:rsidR="00EB38E7" w:rsidRPr="00EB38E7">
        <w:t>dwellings and wheelchair user dwellings. The Council’s Local Plan policy (HC2) requires 20%</w:t>
      </w:r>
      <w:r w:rsidR="0004605A">
        <w:t xml:space="preserve"> of new </w:t>
      </w:r>
      <w:r w:rsidR="00EB38E7" w:rsidRPr="00EB38E7">
        <w:t>market homes to be built at M4(2) Standards (on larger sites</w:t>
      </w:r>
      <w:r w:rsidR="00B36C3E">
        <w:t xml:space="preserve"> of 50+ homes</w:t>
      </w:r>
      <w:r w:rsidR="00EB38E7" w:rsidRPr="00EB38E7">
        <w:t xml:space="preserve">), although given the evidence, </w:t>
      </w:r>
      <w:r w:rsidR="0004605A">
        <w:t xml:space="preserve">it is suggested that </w:t>
      </w:r>
      <w:r w:rsidR="00EB38E7" w:rsidRPr="00EB38E7">
        <w:t xml:space="preserve">the Council could consider (as a start point) requiring all dwellings to meet the M4(2) standards (which are similar to the Lifetime Homes Standards) and at least 10% of homes which are allocated by the local authority meeting the higher M4(3) standards. </w:t>
      </w:r>
    </w:p>
    <w:p w14:paraId="47181EF4" w14:textId="77777777" w:rsidR="00D1666A" w:rsidRDefault="00D1666A" w:rsidP="00E73C8E">
      <w:pPr>
        <w:autoSpaceDE w:val="0"/>
        <w:autoSpaceDN w:val="0"/>
        <w:adjustRightInd w:val="0"/>
      </w:pPr>
    </w:p>
    <w:p w14:paraId="0368544E" w14:textId="77777777" w:rsidR="00E73C8E" w:rsidRPr="00E73C8E" w:rsidRDefault="00E73C8E" w:rsidP="00E73C8E">
      <w:pPr>
        <w:autoSpaceDE w:val="0"/>
        <w:autoSpaceDN w:val="0"/>
        <w:adjustRightInd w:val="0"/>
        <w:rPr>
          <w:u w:val="single"/>
        </w:rPr>
      </w:pPr>
      <w:r w:rsidRPr="00E73C8E">
        <w:rPr>
          <w:u w:val="single"/>
        </w:rPr>
        <w:t>Private Rented Sector</w:t>
      </w:r>
    </w:p>
    <w:p w14:paraId="5476F539" w14:textId="77777777" w:rsidR="00E73C8E" w:rsidRDefault="00F72D6F" w:rsidP="00E73C8E">
      <w:pPr>
        <w:autoSpaceDE w:val="0"/>
        <w:autoSpaceDN w:val="0"/>
        <w:adjustRightInd w:val="0"/>
      </w:pPr>
      <w:r>
        <w:t xml:space="preserve"> </w:t>
      </w:r>
    </w:p>
    <w:p w14:paraId="72AA7115" w14:textId="4A1626F1" w:rsidR="00F72D6F" w:rsidRPr="00774298" w:rsidRDefault="005C76A5" w:rsidP="00774298">
      <w:pPr>
        <w:autoSpaceDE w:val="0"/>
        <w:autoSpaceDN w:val="0"/>
        <w:adjustRightInd w:val="0"/>
      </w:pPr>
      <w:r>
        <w:t>2.</w:t>
      </w:r>
      <w:r w:rsidR="00CC0968">
        <w:t>4</w:t>
      </w:r>
      <w:r w:rsidR="004436CC">
        <w:t>2</w:t>
      </w:r>
      <w:r>
        <w:tab/>
      </w:r>
      <w:r w:rsidR="00774298" w:rsidRPr="00774298">
        <w:t>The private rented sector account</w:t>
      </w:r>
      <w:r w:rsidR="00B36C3E">
        <w:t>ed</w:t>
      </w:r>
      <w:r w:rsidR="00774298" w:rsidRPr="00774298">
        <w:t xml:space="preserve"> for around 1</w:t>
      </w:r>
      <w:r w:rsidR="00B36C3E">
        <w:t xml:space="preserve">3% of all households in Sefton as of 2011. </w:t>
      </w:r>
      <w:r w:rsidR="007D402A">
        <w:t>H</w:t>
      </w:r>
      <w:r w:rsidR="007D402A" w:rsidRPr="00774298">
        <w:t>owever,</w:t>
      </w:r>
      <w:r w:rsidR="00774298" w:rsidRPr="00774298">
        <w:t xml:space="preserve"> the number of households in this sector has grown substantially </w:t>
      </w:r>
      <w:r w:rsidR="00B36C3E">
        <w:t xml:space="preserve">since - </w:t>
      </w:r>
      <w:r w:rsidR="00774298" w:rsidRPr="00774298">
        <w:t>increasing by 64% in the 2001-11 period. The private rented sector has some distinct characteristics, including a much younger demographic profile, a high proportion of households with dependent children (notably lone parents) and levels of overcrowding that are relativity high. Additional analysis suggests that rent levels have not changed significantly over time (when looking at the 2011-18 period) – this would suggest that despite the large increase in the size of the sector, there is no obvious lack of supply of private rented homes.</w:t>
      </w:r>
    </w:p>
    <w:p w14:paraId="0FC1299E" w14:textId="77777777" w:rsidR="00774298" w:rsidRPr="00774298" w:rsidRDefault="00774298" w:rsidP="00774298">
      <w:pPr>
        <w:autoSpaceDE w:val="0"/>
        <w:autoSpaceDN w:val="0"/>
        <w:adjustRightInd w:val="0"/>
      </w:pPr>
    </w:p>
    <w:p w14:paraId="006656F6" w14:textId="1E916F8E" w:rsidR="00774298" w:rsidRPr="00774298" w:rsidRDefault="005C76A5" w:rsidP="00774298">
      <w:pPr>
        <w:autoSpaceDE w:val="0"/>
        <w:autoSpaceDN w:val="0"/>
        <w:adjustRightInd w:val="0"/>
      </w:pPr>
      <w:r>
        <w:t>2.</w:t>
      </w:r>
      <w:r w:rsidR="00CC0968">
        <w:t>4</w:t>
      </w:r>
      <w:r w:rsidR="004436CC">
        <w:t>3</w:t>
      </w:r>
      <w:r>
        <w:tab/>
      </w:r>
      <w:r w:rsidR="00774298" w:rsidRPr="00774298">
        <w:t>The SHMA update has not attempted to estimate the need for additional priva</w:t>
      </w:r>
      <w:r w:rsidR="00A737EA">
        <w:t xml:space="preserve">te rented housing. It is likely </w:t>
      </w:r>
      <w:r w:rsidR="00774298" w:rsidRPr="00774298">
        <w:t xml:space="preserve">that the decision of households as to whether to buy or rent a home in the open </w:t>
      </w:r>
      <w:r w:rsidR="00A737EA">
        <w:t xml:space="preserve">market is dependent </w:t>
      </w:r>
      <w:r w:rsidR="00774298" w:rsidRPr="00774298">
        <w:t xml:space="preserve">on </w:t>
      </w:r>
      <w:proofErr w:type="gramStart"/>
      <w:r w:rsidR="00774298" w:rsidRPr="00774298">
        <w:t>a number of</w:t>
      </w:r>
      <w:proofErr w:type="gramEnd"/>
      <w:r w:rsidR="00774298" w:rsidRPr="00774298">
        <w:t xml:space="preserve"> factors which mean that demand can fluctuat</w:t>
      </w:r>
      <w:r w:rsidR="00A737EA">
        <w:t xml:space="preserve">e over time; this would include </w:t>
      </w:r>
      <w:r w:rsidR="00774298" w:rsidRPr="00774298">
        <w:t>mortgage lending practices and the availability of Housing Benefit.</w:t>
      </w:r>
      <w:r w:rsidR="00A737EA">
        <w:t xml:space="preserve"> A general (national and local) </w:t>
      </w:r>
      <w:r w:rsidR="00774298" w:rsidRPr="00774298">
        <w:t>shortage of housing is likely to have driven some of the growth in the p</w:t>
      </w:r>
      <w:r w:rsidR="00A737EA">
        <w:t xml:space="preserve">rivate rented sector, including </w:t>
      </w:r>
      <w:r w:rsidR="00774298" w:rsidRPr="00774298">
        <w:t>increases in the number of younger people in the sector, and increa</w:t>
      </w:r>
      <w:r w:rsidR="00A737EA">
        <w:t xml:space="preserve">ses in shared accommodation. If </w:t>
      </w:r>
      <w:r w:rsidR="00774298" w:rsidRPr="00774298">
        <w:t>the supply of housing increases, then this potentially means that m</w:t>
      </w:r>
      <w:r w:rsidR="00A737EA">
        <w:t xml:space="preserve">ore households would be able to </w:t>
      </w:r>
      <w:r w:rsidR="00774298" w:rsidRPr="00774298">
        <w:t>buy, but who would otherwise be renting.</w:t>
      </w:r>
    </w:p>
    <w:p w14:paraId="7122D68F" w14:textId="77777777" w:rsidR="00E73C8E" w:rsidRDefault="00E73C8E" w:rsidP="00E73C8E">
      <w:pPr>
        <w:autoSpaceDE w:val="0"/>
        <w:autoSpaceDN w:val="0"/>
        <w:adjustRightInd w:val="0"/>
      </w:pPr>
    </w:p>
    <w:p w14:paraId="608E18D2" w14:textId="77777777" w:rsidR="00E73C8E" w:rsidRPr="00E73C8E" w:rsidRDefault="00E73C8E" w:rsidP="00E73C8E">
      <w:pPr>
        <w:autoSpaceDE w:val="0"/>
        <w:autoSpaceDN w:val="0"/>
        <w:adjustRightInd w:val="0"/>
        <w:rPr>
          <w:u w:val="single"/>
        </w:rPr>
      </w:pPr>
      <w:r w:rsidRPr="00E73C8E">
        <w:rPr>
          <w:u w:val="single"/>
        </w:rPr>
        <w:t>Self and Custom Build Homes</w:t>
      </w:r>
    </w:p>
    <w:p w14:paraId="465B15AB" w14:textId="77777777" w:rsidR="00E73C8E" w:rsidRPr="00555714" w:rsidRDefault="00E73C8E" w:rsidP="00E73C8E">
      <w:pPr>
        <w:autoSpaceDE w:val="0"/>
        <w:autoSpaceDN w:val="0"/>
        <w:adjustRightInd w:val="0"/>
      </w:pPr>
    </w:p>
    <w:p w14:paraId="2F5B11BF" w14:textId="360B1C9A" w:rsidR="00674BD6" w:rsidRPr="003F52EC" w:rsidRDefault="005C76A5" w:rsidP="003F52EC">
      <w:pPr>
        <w:autoSpaceDE w:val="0"/>
        <w:autoSpaceDN w:val="0"/>
        <w:adjustRightInd w:val="0"/>
        <w:rPr>
          <w:rFonts w:ascii="CIDFont+F2" w:hAnsi="CIDFont+F2" w:cs="CIDFont+F2"/>
          <w:sz w:val="20"/>
          <w:lang w:eastAsia="en-GB"/>
        </w:rPr>
      </w:pPr>
      <w:r>
        <w:t>2.</w:t>
      </w:r>
      <w:r w:rsidR="00527114">
        <w:t>4</w:t>
      </w:r>
      <w:r w:rsidR="004436CC">
        <w:t>4</w:t>
      </w:r>
      <w:r>
        <w:tab/>
      </w:r>
      <w:r w:rsidR="005532EA" w:rsidRPr="003F52EC">
        <w:t>The evidence of the demand for self-build (from both portals and the</w:t>
      </w:r>
      <w:r w:rsidR="003F52EC">
        <w:t xml:space="preserve"> Council’s self-build register) </w:t>
      </w:r>
      <w:r w:rsidR="005532EA" w:rsidRPr="003F52EC">
        <w:t>suggest that this is relatively minimal. It is however possible that thes</w:t>
      </w:r>
      <w:r w:rsidR="003F52EC">
        <w:t xml:space="preserve">e sources do not fully capture </w:t>
      </w:r>
      <w:r w:rsidR="005532EA" w:rsidRPr="003F52EC">
        <w:t>the extent of the market in the area and increasing the supply could i</w:t>
      </w:r>
      <w:r w:rsidR="003F52EC">
        <w:t xml:space="preserve">ncrease awareness of self-build </w:t>
      </w:r>
      <w:r w:rsidR="005532EA" w:rsidRPr="003F52EC">
        <w:t>as an option. The Council have recently approved two small schemes for self/custom build home</w:t>
      </w:r>
      <w:r w:rsidR="003F52EC" w:rsidRPr="003F52EC">
        <w:t>s</w:t>
      </w:r>
      <w:r w:rsidR="00785C59">
        <w:t xml:space="preserve"> (one in Thornton, the other in Maghull)</w:t>
      </w:r>
      <w:r w:rsidR="003F52EC" w:rsidRPr="003F52EC">
        <w:t xml:space="preserve"> and will look to market these </w:t>
      </w:r>
      <w:r w:rsidR="006C6411">
        <w:t>soon</w:t>
      </w:r>
      <w:r w:rsidR="003F52EC" w:rsidRPr="003F52EC">
        <w:t>. This will hopefully help gau</w:t>
      </w:r>
      <w:r w:rsidR="003F52EC">
        <w:t xml:space="preserve">ge </w:t>
      </w:r>
      <w:r w:rsidR="003F52EC" w:rsidRPr="003F52EC">
        <w:t xml:space="preserve">the level of </w:t>
      </w:r>
      <w:r w:rsidR="003F52EC">
        <w:t xml:space="preserve">actual demand in the area. Given the </w:t>
      </w:r>
      <w:r w:rsidR="003F52EC" w:rsidRPr="003F52EC">
        <w:t>information available about self- and custom-build in Sefton, the Council’s current policy (part of HC2) to ‘support proposals for custom or self-build homes on appropriate sites’ seems reasonable and proportionate.</w:t>
      </w:r>
    </w:p>
    <w:p w14:paraId="31914CAB" w14:textId="1A034D54" w:rsidR="008E76E5" w:rsidRDefault="008E76E5" w:rsidP="00604A86">
      <w:pPr>
        <w:autoSpaceDE w:val="0"/>
        <w:autoSpaceDN w:val="0"/>
        <w:adjustRightInd w:val="0"/>
      </w:pPr>
    </w:p>
    <w:p w14:paraId="2E36FEE2" w14:textId="0404D7D0" w:rsidR="00604A86" w:rsidRPr="006A3C2D" w:rsidRDefault="00B508CB" w:rsidP="00604A86">
      <w:pPr>
        <w:autoSpaceDE w:val="0"/>
        <w:autoSpaceDN w:val="0"/>
        <w:adjustRightInd w:val="0"/>
        <w:rPr>
          <w:b/>
        </w:rPr>
      </w:pPr>
      <w:r>
        <w:rPr>
          <w:b/>
        </w:rPr>
        <w:t>3</w:t>
      </w:r>
      <w:r w:rsidR="00604A86" w:rsidRPr="006A3C2D">
        <w:rPr>
          <w:b/>
        </w:rPr>
        <w:t>.</w:t>
      </w:r>
      <w:r w:rsidR="00604A86" w:rsidRPr="006A3C2D">
        <w:rPr>
          <w:b/>
        </w:rPr>
        <w:tab/>
        <w:t>Next steps</w:t>
      </w:r>
    </w:p>
    <w:p w14:paraId="0EDCF7E0" w14:textId="77777777" w:rsidR="00604A86" w:rsidRPr="00823206" w:rsidRDefault="00604A86" w:rsidP="00604A86">
      <w:pPr>
        <w:autoSpaceDE w:val="0"/>
        <w:autoSpaceDN w:val="0"/>
        <w:adjustRightInd w:val="0"/>
        <w:rPr>
          <w:u w:val="single"/>
        </w:rPr>
      </w:pPr>
    </w:p>
    <w:p w14:paraId="4E1E02B3" w14:textId="1F134570" w:rsidR="00604A86" w:rsidRDefault="005C76A5" w:rsidP="005C4FFE">
      <w:pPr>
        <w:autoSpaceDE w:val="0"/>
        <w:autoSpaceDN w:val="0"/>
        <w:adjustRightInd w:val="0"/>
      </w:pPr>
      <w:r>
        <w:lastRenderedPageBreak/>
        <w:t>3.1</w:t>
      </w:r>
      <w:r>
        <w:tab/>
      </w:r>
      <w:r w:rsidR="0034201C">
        <w:t>If approved</w:t>
      </w:r>
      <w:r w:rsidR="00823132">
        <w:t xml:space="preserve"> the</w:t>
      </w:r>
      <w:r w:rsidR="005A6ED3">
        <w:t xml:space="preserve"> Strategic Housing Market Assessment update</w:t>
      </w:r>
      <w:r w:rsidR="0034201C">
        <w:t xml:space="preserve"> will be published online and </w:t>
      </w:r>
      <w:r w:rsidR="002D5079">
        <w:t>will inform future policy reviews</w:t>
      </w:r>
      <w:r w:rsidR="005C4FFE">
        <w:t>.</w:t>
      </w:r>
      <w:r w:rsidR="002D5079">
        <w:t xml:space="preserve"> </w:t>
      </w:r>
      <w:r w:rsidR="005C4FFE">
        <w:t xml:space="preserve"> </w:t>
      </w:r>
      <w:r w:rsidR="00BB5D73">
        <w:t xml:space="preserve">The changes to approach as set out in the recommendations will be applied to future planning applications. A report will be brought to Cabinet Member in 12 months to set out what impact the change from </w:t>
      </w:r>
      <w:proofErr w:type="spellStart"/>
      <w:r w:rsidR="00BB5D73">
        <w:t>bedspaces</w:t>
      </w:r>
      <w:proofErr w:type="spellEnd"/>
      <w:r w:rsidR="00BB5D73">
        <w:t xml:space="preserve"> to units as a means of calculating affordable housing is having and whether to continue with this approach.</w:t>
      </w:r>
    </w:p>
    <w:p w14:paraId="705A5AF3" w14:textId="77777777" w:rsidR="00BB55C3" w:rsidRDefault="00BB55C3" w:rsidP="00604A86">
      <w:pPr>
        <w:autoSpaceDE w:val="0"/>
        <w:autoSpaceDN w:val="0"/>
        <w:adjustRightInd w:val="0"/>
        <w:ind w:left="709" w:hanging="709"/>
      </w:pPr>
    </w:p>
    <w:p w14:paraId="556018E2" w14:textId="77777777" w:rsidR="00BB55C3" w:rsidRDefault="00BB55C3" w:rsidP="00604A86">
      <w:pPr>
        <w:autoSpaceDE w:val="0"/>
        <w:autoSpaceDN w:val="0"/>
        <w:adjustRightInd w:val="0"/>
        <w:ind w:left="709" w:hanging="709"/>
      </w:pPr>
    </w:p>
    <w:p w14:paraId="62A772A3" w14:textId="77777777" w:rsidR="00604A86" w:rsidRDefault="00604A86">
      <w:pPr>
        <w:rPr>
          <w:rFonts w:ascii="Times New Roman" w:hAnsi="Times New Roman"/>
        </w:rPr>
      </w:pPr>
    </w:p>
    <w:sectPr w:rsidR="00604A86" w:rsidSect="00B21CDE">
      <w:type w:val="continuous"/>
      <w:pgSz w:w="11909" w:h="16834" w:code="9"/>
      <w:pgMar w:top="1440" w:right="1298" w:bottom="1009" w:left="1151" w:header="709" w:footer="709"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1845"/>
    <w:multiLevelType w:val="hybridMultilevel"/>
    <w:tmpl w:val="75E8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E2B4F"/>
    <w:multiLevelType w:val="multilevel"/>
    <w:tmpl w:val="507E45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8D444B"/>
    <w:multiLevelType w:val="hybridMultilevel"/>
    <w:tmpl w:val="586EF2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9C1F52"/>
    <w:multiLevelType w:val="hybridMultilevel"/>
    <w:tmpl w:val="70D896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EC2802"/>
    <w:multiLevelType w:val="hybridMultilevel"/>
    <w:tmpl w:val="6D945B2A"/>
    <w:lvl w:ilvl="0" w:tplc="A7FAB190">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8479D"/>
    <w:multiLevelType w:val="hybridMultilevel"/>
    <w:tmpl w:val="A7588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C3CEB"/>
    <w:multiLevelType w:val="hybridMultilevel"/>
    <w:tmpl w:val="128CD33C"/>
    <w:lvl w:ilvl="0" w:tplc="16A06D8E">
      <w:start w:val="1"/>
      <w:numFmt w:val="upperLetter"/>
      <w:lvlText w:val="(%1)"/>
      <w:lvlJc w:val="left"/>
      <w:pPr>
        <w:ind w:left="420" w:hanging="360"/>
      </w:pPr>
      <w:rPr>
        <w:rFonts w:hint="default"/>
      </w:rPr>
    </w:lvl>
    <w:lvl w:ilvl="1" w:tplc="7DA6DF92" w:tentative="1">
      <w:start w:val="1"/>
      <w:numFmt w:val="lowerLetter"/>
      <w:lvlText w:val="%2."/>
      <w:lvlJc w:val="left"/>
      <w:pPr>
        <w:ind w:left="1140" w:hanging="360"/>
      </w:pPr>
    </w:lvl>
    <w:lvl w:ilvl="2" w:tplc="919A58CA" w:tentative="1">
      <w:start w:val="1"/>
      <w:numFmt w:val="lowerRoman"/>
      <w:lvlText w:val="%3."/>
      <w:lvlJc w:val="right"/>
      <w:pPr>
        <w:ind w:left="1860" w:hanging="180"/>
      </w:pPr>
    </w:lvl>
    <w:lvl w:ilvl="3" w:tplc="BDE46AB6" w:tentative="1">
      <w:start w:val="1"/>
      <w:numFmt w:val="decimal"/>
      <w:lvlText w:val="%4."/>
      <w:lvlJc w:val="left"/>
      <w:pPr>
        <w:ind w:left="2580" w:hanging="360"/>
      </w:pPr>
    </w:lvl>
    <w:lvl w:ilvl="4" w:tplc="45AADDAC" w:tentative="1">
      <w:start w:val="1"/>
      <w:numFmt w:val="lowerLetter"/>
      <w:lvlText w:val="%5."/>
      <w:lvlJc w:val="left"/>
      <w:pPr>
        <w:ind w:left="3300" w:hanging="360"/>
      </w:pPr>
    </w:lvl>
    <w:lvl w:ilvl="5" w:tplc="AE1AC7C2" w:tentative="1">
      <w:start w:val="1"/>
      <w:numFmt w:val="lowerRoman"/>
      <w:lvlText w:val="%6."/>
      <w:lvlJc w:val="right"/>
      <w:pPr>
        <w:ind w:left="4020" w:hanging="180"/>
      </w:pPr>
    </w:lvl>
    <w:lvl w:ilvl="6" w:tplc="DD78E746" w:tentative="1">
      <w:start w:val="1"/>
      <w:numFmt w:val="decimal"/>
      <w:lvlText w:val="%7."/>
      <w:lvlJc w:val="left"/>
      <w:pPr>
        <w:ind w:left="4740" w:hanging="360"/>
      </w:pPr>
    </w:lvl>
    <w:lvl w:ilvl="7" w:tplc="2B0A9398" w:tentative="1">
      <w:start w:val="1"/>
      <w:numFmt w:val="lowerLetter"/>
      <w:lvlText w:val="%8."/>
      <w:lvlJc w:val="left"/>
      <w:pPr>
        <w:ind w:left="5460" w:hanging="360"/>
      </w:pPr>
    </w:lvl>
    <w:lvl w:ilvl="8" w:tplc="AB264CCE" w:tentative="1">
      <w:start w:val="1"/>
      <w:numFmt w:val="lowerRoman"/>
      <w:lvlText w:val="%9."/>
      <w:lvlJc w:val="right"/>
      <w:pPr>
        <w:ind w:left="6180" w:hanging="180"/>
      </w:pPr>
    </w:lvl>
  </w:abstractNum>
  <w:abstractNum w:abstractNumId="7" w15:restartNumberingAfterBreak="0">
    <w:nsid w:val="42351EDA"/>
    <w:multiLevelType w:val="multilevel"/>
    <w:tmpl w:val="7F28AB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332794"/>
    <w:multiLevelType w:val="hybridMultilevel"/>
    <w:tmpl w:val="2E86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03A24"/>
    <w:multiLevelType w:val="multilevel"/>
    <w:tmpl w:val="C69C0B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1B5913"/>
    <w:multiLevelType w:val="hybridMultilevel"/>
    <w:tmpl w:val="F5B239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6573E"/>
    <w:multiLevelType w:val="hybridMultilevel"/>
    <w:tmpl w:val="38DE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CF59DA"/>
    <w:multiLevelType w:val="hybridMultilevel"/>
    <w:tmpl w:val="877AD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E5218C"/>
    <w:multiLevelType w:val="hybridMultilevel"/>
    <w:tmpl w:val="6D5AA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65370"/>
    <w:multiLevelType w:val="hybridMultilevel"/>
    <w:tmpl w:val="97F4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5E569F"/>
    <w:multiLevelType w:val="multilevel"/>
    <w:tmpl w:val="B7141CBA"/>
    <w:lvl w:ilvl="0">
      <w:start w:val="1"/>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16" w15:restartNumberingAfterBreak="0">
    <w:nsid w:val="76D529BC"/>
    <w:multiLevelType w:val="hybridMultilevel"/>
    <w:tmpl w:val="7FE856AC"/>
    <w:lvl w:ilvl="0" w:tplc="77243F4A">
      <w:start w:val="1"/>
      <w:numFmt w:val="bullet"/>
      <w:lvlText w:val=""/>
      <w:lvlJc w:val="left"/>
      <w:pPr>
        <w:ind w:left="720" w:hanging="360"/>
      </w:pPr>
      <w:rPr>
        <w:rFonts w:ascii="Symbol" w:hAnsi="Symbol" w:hint="default"/>
      </w:rPr>
    </w:lvl>
    <w:lvl w:ilvl="1" w:tplc="822EBC34" w:tentative="1">
      <w:start w:val="1"/>
      <w:numFmt w:val="bullet"/>
      <w:lvlText w:val="o"/>
      <w:lvlJc w:val="left"/>
      <w:pPr>
        <w:ind w:left="1440" w:hanging="360"/>
      </w:pPr>
      <w:rPr>
        <w:rFonts w:ascii="Courier New" w:hAnsi="Courier New" w:cs="Courier New" w:hint="default"/>
      </w:rPr>
    </w:lvl>
    <w:lvl w:ilvl="2" w:tplc="B3CE83BA" w:tentative="1">
      <w:start w:val="1"/>
      <w:numFmt w:val="bullet"/>
      <w:lvlText w:val=""/>
      <w:lvlJc w:val="left"/>
      <w:pPr>
        <w:ind w:left="2160" w:hanging="360"/>
      </w:pPr>
      <w:rPr>
        <w:rFonts w:ascii="Wingdings" w:hAnsi="Wingdings" w:hint="default"/>
      </w:rPr>
    </w:lvl>
    <w:lvl w:ilvl="3" w:tplc="072C7442" w:tentative="1">
      <w:start w:val="1"/>
      <w:numFmt w:val="bullet"/>
      <w:lvlText w:val=""/>
      <w:lvlJc w:val="left"/>
      <w:pPr>
        <w:ind w:left="2880" w:hanging="360"/>
      </w:pPr>
      <w:rPr>
        <w:rFonts w:ascii="Symbol" w:hAnsi="Symbol" w:hint="default"/>
      </w:rPr>
    </w:lvl>
    <w:lvl w:ilvl="4" w:tplc="7D209584" w:tentative="1">
      <w:start w:val="1"/>
      <w:numFmt w:val="bullet"/>
      <w:lvlText w:val="o"/>
      <w:lvlJc w:val="left"/>
      <w:pPr>
        <w:ind w:left="3600" w:hanging="360"/>
      </w:pPr>
      <w:rPr>
        <w:rFonts w:ascii="Courier New" w:hAnsi="Courier New" w:cs="Courier New" w:hint="default"/>
      </w:rPr>
    </w:lvl>
    <w:lvl w:ilvl="5" w:tplc="8800F288" w:tentative="1">
      <w:start w:val="1"/>
      <w:numFmt w:val="bullet"/>
      <w:lvlText w:val=""/>
      <w:lvlJc w:val="left"/>
      <w:pPr>
        <w:ind w:left="4320" w:hanging="360"/>
      </w:pPr>
      <w:rPr>
        <w:rFonts w:ascii="Wingdings" w:hAnsi="Wingdings" w:hint="default"/>
      </w:rPr>
    </w:lvl>
    <w:lvl w:ilvl="6" w:tplc="0180FD38" w:tentative="1">
      <w:start w:val="1"/>
      <w:numFmt w:val="bullet"/>
      <w:lvlText w:val=""/>
      <w:lvlJc w:val="left"/>
      <w:pPr>
        <w:ind w:left="5040" w:hanging="360"/>
      </w:pPr>
      <w:rPr>
        <w:rFonts w:ascii="Symbol" w:hAnsi="Symbol" w:hint="default"/>
      </w:rPr>
    </w:lvl>
    <w:lvl w:ilvl="7" w:tplc="E674B180" w:tentative="1">
      <w:start w:val="1"/>
      <w:numFmt w:val="bullet"/>
      <w:lvlText w:val="o"/>
      <w:lvlJc w:val="left"/>
      <w:pPr>
        <w:ind w:left="5760" w:hanging="360"/>
      </w:pPr>
      <w:rPr>
        <w:rFonts w:ascii="Courier New" w:hAnsi="Courier New" w:cs="Courier New" w:hint="default"/>
      </w:rPr>
    </w:lvl>
    <w:lvl w:ilvl="8" w:tplc="06E03506"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6"/>
  </w:num>
  <w:num w:numId="4">
    <w:abstractNumId w:val="3"/>
  </w:num>
  <w:num w:numId="5">
    <w:abstractNumId w:val="5"/>
  </w:num>
  <w:num w:numId="6">
    <w:abstractNumId w:val="2"/>
  </w:num>
  <w:num w:numId="7">
    <w:abstractNumId w:val="13"/>
  </w:num>
  <w:num w:numId="8">
    <w:abstractNumId w:val="1"/>
  </w:num>
  <w:num w:numId="9">
    <w:abstractNumId w:val="10"/>
  </w:num>
  <w:num w:numId="10">
    <w:abstractNumId w:val="15"/>
  </w:num>
  <w:num w:numId="11">
    <w:abstractNumId w:val="4"/>
  </w:num>
  <w:num w:numId="12">
    <w:abstractNumId w:val="0"/>
  </w:num>
  <w:num w:numId="13">
    <w:abstractNumId w:val="11"/>
  </w:num>
  <w:num w:numId="14">
    <w:abstractNumId w:val="12"/>
  </w:num>
  <w:num w:numId="15">
    <w:abstractNumId w:val="8"/>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9CB"/>
    <w:rsid w:val="00012D3F"/>
    <w:rsid w:val="00013F12"/>
    <w:rsid w:val="00026065"/>
    <w:rsid w:val="0003576B"/>
    <w:rsid w:val="00041729"/>
    <w:rsid w:val="00041D47"/>
    <w:rsid w:val="00043177"/>
    <w:rsid w:val="00043AB7"/>
    <w:rsid w:val="0004605A"/>
    <w:rsid w:val="00061158"/>
    <w:rsid w:val="00064AFE"/>
    <w:rsid w:val="0006671C"/>
    <w:rsid w:val="00072DE5"/>
    <w:rsid w:val="000737BE"/>
    <w:rsid w:val="00073E41"/>
    <w:rsid w:val="000845CE"/>
    <w:rsid w:val="00093FEE"/>
    <w:rsid w:val="0009421D"/>
    <w:rsid w:val="00095C6D"/>
    <w:rsid w:val="000A073F"/>
    <w:rsid w:val="000A355E"/>
    <w:rsid w:val="000A3A5E"/>
    <w:rsid w:val="000C0176"/>
    <w:rsid w:val="000C3671"/>
    <w:rsid w:val="000C4454"/>
    <w:rsid w:val="000D046F"/>
    <w:rsid w:val="000D09F0"/>
    <w:rsid w:val="000E33A4"/>
    <w:rsid w:val="000F1BA8"/>
    <w:rsid w:val="001013F3"/>
    <w:rsid w:val="00126150"/>
    <w:rsid w:val="00144BDB"/>
    <w:rsid w:val="00144C56"/>
    <w:rsid w:val="00144DAE"/>
    <w:rsid w:val="001639C5"/>
    <w:rsid w:val="00194EA2"/>
    <w:rsid w:val="001A08A8"/>
    <w:rsid w:val="001A5C75"/>
    <w:rsid w:val="001B3430"/>
    <w:rsid w:val="001B3C82"/>
    <w:rsid w:val="001B5FB5"/>
    <w:rsid w:val="001E02CF"/>
    <w:rsid w:val="001E39E1"/>
    <w:rsid w:val="001E4190"/>
    <w:rsid w:val="001F2DC7"/>
    <w:rsid w:val="001F64D3"/>
    <w:rsid w:val="001F70FB"/>
    <w:rsid w:val="00206999"/>
    <w:rsid w:val="0021151E"/>
    <w:rsid w:val="0023071A"/>
    <w:rsid w:val="002338FB"/>
    <w:rsid w:val="002344C3"/>
    <w:rsid w:val="002350FA"/>
    <w:rsid w:val="0023597F"/>
    <w:rsid w:val="00237DF8"/>
    <w:rsid w:val="00241933"/>
    <w:rsid w:val="00246343"/>
    <w:rsid w:val="00261BF6"/>
    <w:rsid w:val="002631EB"/>
    <w:rsid w:val="00266FEE"/>
    <w:rsid w:val="00272F64"/>
    <w:rsid w:val="002802EA"/>
    <w:rsid w:val="00280E22"/>
    <w:rsid w:val="002867F3"/>
    <w:rsid w:val="002B7A09"/>
    <w:rsid w:val="002C14CA"/>
    <w:rsid w:val="002D5079"/>
    <w:rsid w:val="002E2544"/>
    <w:rsid w:val="002F05ED"/>
    <w:rsid w:val="002F3C29"/>
    <w:rsid w:val="003011D3"/>
    <w:rsid w:val="00305CD1"/>
    <w:rsid w:val="0032452D"/>
    <w:rsid w:val="003271E0"/>
    <w:rsid w:val="0033156A"/>
    <w:rsid w:val="0034201C"/>
    <w:rsid w:val="003454AD"/>
    <w:rsid w:val="003552D2"/>
    <w:rsid w:val="00367E61"/>
    <w:rsid w:val="00393FED"/>
    <w:rsid w:val="0039436C"/>
    <w:rsid w:val="003A5DDA"/>
    <w:rsid w:val="003A649E"/>
    <w:rsid w:val="003A70CA"/>
    <w:rsid w:val="003B1C78"/>
    <w:rsid w:val="003C3A50"/>
    <w:rsid w:val="003C7FAD"/>
    <w:rsid w:val="003D008A"/>
    <w:rsid w:val="003D4C13"/>
    <w:rsid w:val="003D738B"/>
    <w:rsid w:val="003D776A"/>
    <w:rsid w:val="003F0B55"/>
    <w:rsid w:val="003F3333"/>
    <w:rsid w:val="003F3C25"/>
    <w:rsid w:val="003F52EC"/>
    <w:rsid w:val="0040702D"/>
    <w:rsid w:val="00421F68"/>
    <w:rsid w:val="0042459B"/>
    <w:rsid w:val="00427150"/>
    <w:rsid w:val="004436CC"/>
    <w:rsid w:val="00452E01"/>
    <w:rsid w:val="004558E3"/>
    <w:rsid w:val="00456E2C"/>
    <w:rsid w:val="00476A91"/>
    <w:rsid w:val="004772C8"/>
    <w:rsid w:val="00484038"/>
    <w:rsid w:val="00486812"/>
    <w:rsid w:val="004A17B9"/>
    <w:rsid w:val="004A2674"/>
    <w:rsid w:val="004A5EA5"/>
    <w:rsid w:val="004A6747"/>
    <w:rsid w:val="004B4917"/>
    <w:rsid w:val="004C083F"/>
    <w:rsid w:val="004D1C5A"/>
    <w:rsid w:val="004D35CB"/>
    <w:rsid w:val="004D6253"/>
    <w:rsid w:val="004E4E7D"/>
    <w:rsid w:val="00512994"/>
    <w:rsid w:val="00520FEC"/>
    <w:rsid w:val="00525CC2"/>
    <w:rsid w:val="0052625B"/>
    <w:rsid w:val="00526E77"/>
    <w:rsid w:val="00527114"/>
    <w:rsid w:val="00530ECD"/>
    <w:rsid w:val="00545447"/>
    <w:rsid w:val="00547B79"/>
    <w:rsid w:val="00550AD8"/>
    <w:rsid w:val="005532EA"/>
    <w:rsid w:val="00555714"/>
    <w:rsid w:val="00557D2F"/>
    <w:rsid w:val="00565AF0"/>
    <w:rsid w:val="00571551"/>
    <w:rsid w:val="00577175"/>
    <w:rsid w:val="00577BB6"/>
    <w:rsid w:val="00590487"/>
    <w:rsid w:val="005A6ED3"/>
    <w:rsid w:val="005C4FFE"/>
    <w:rsid w:val="005C76A5"/>
    <w:rsid w:val="005D06A5"/>
    <w:rsid w:val="005D5442"/>
    <w:rsid w:val="005D770A"/>
    <w:rsid w:val="005E3548"/>
    <w:rsid w:val="00601A1D"/>
    <w:rsid w:val="00602544"/>
    <w:rsid w:val="00604A86"/>
    <w:rsid w:val="0061706F"/>
    <w:rsid w:val="00635304"/>
    <w:rsid w:val="00641E21"/>
    <w:rsid w:val="006510B6"/>
    <w:rsid w:val="00651307"/>
    <w:rsid w:val="00652639"/>
    <w:rsid w:val="00660C7A"/>
    <w:rsid w:val="00662AEA"/>
    <w:rsid w:val="00663255"/>
    <w:rsid w:val="00664A91"/>
    <w:rsid w:val="00671867"/>
    <w:rsid w:val="00674BD6"/>
    <w:rsid w:val="006801E5"/>
    <w:rsid w:val="0068257A"/>
    <w:rsid w:val="00682E39"/>
    <w:rsid w:val="006862C7"/>
    <w:rsid w:val="00696C54"/>
    <w:rsid w:val="006A1549"/>
    <w:rsid w:val="006A4324"/>
    <w:rsid w:val="006A78DD"/>
    <w:rsid w:val="006B0CC6"/>
    <w:rsid w:val="006B177D"/>
    <w:rsid w:val="006C6411"/>
    <w:rsid w:val="006E0F1D"/>
    <w:rsid w:val="006E7CAB"/>
    <w:rsid w:val="007049EF"/>
    <w:rsid w:val="0070759D"/>
    <w:rsid w:val="0072477B"/>
    <w:rsid w:val="007314C9"/>
    <w:rsid w:val="00731834"/>
    <w:rsid w:val="007336B2"/>
    <w:rsid w:val="00750F04"/>
    <w:rsid w:val="00761CF7"/>
    <w:rsid w:val="00766392"/>
    <w:rsid w:val="00770C34"/>
    <w:rsid w:val="00774298"/>
    <w:rsid w:val="007754E8"/>
    <w:rsid w:val="00781224"/>
    <w:rsid w:val="00785C59"/>
    <w:rsid w:val="00797E2A"/>
    <w:rsid w:val="007A0520"/>
    <w:rsid w:val="007A1158"/>
    <w:rsid w:val="007D402A"/>
    <w:rsid w:val="007F19EE"/>
    <w:rsid w:val="007F7F48"/>
    <w:rsid w:val="00823132"/>
    <w:rsid w:val="00823321"/>
    <w:rsid w:val="00825914"/>
    <w:rsid w:val="008410C9"/>
    <w:rsid w:val="008425B8"/>
    <w:rsid w:val="00842690"/>
    <w:rsid w:val="00856A25"/>
    <w:rsid w:val="00867E8C"/>
    <w:rsid w:val="00887453"/>
    <w:rsid w:val="00897B59"/>
    <w:rsid w:val="00897DD7"/>
    <w:rsid w:val="008A0693"/>
    <w:rsid w:val="008A14B0"/>
    <w:rsid w:val="008A333F"/>
    <w:rsid w:val="008B03BD"/>
    <w:rsid w:val="008B44BD"/>
    <w:rsid w:val="008C0DC9"/>
    <w:rsid w:val="008D1303"/>
    <w:rsid w:val="008E70B7"/>
    <w:rsid w:val="008E76E5"/>
    <w:rsid w:val="008F135E"/>
    <w:rsid w:val="008F59BE"/>
    <w:rsid w:val="008F7DE5"/>
    <w:rsid w:val="00904F67"/>
    <w:rsid w:val="00910C07"/>
    <w:rsid w:val="00920624"/>
    <w:rsid w:val="009220C7"/>
    <w:rsid w:val="009340B9"/>
    <w:rsid w:val="0093492D"/>
    <w:rsid w:val="00943F0A"/>
    <w:rsid w:val="00944963"/>
    <w:rsid w:val="00944E66"/>
    <w:rsid w:val="00964AAD"/>
    <w:rsid w:val="00967DC7"/>
    <w:rsid w:val="009722F4"/>
    <w:rsid w:val="009874FF"/>
    <w:rsid w:val="009900A3"/>
    <w:rsid w:val="0099190F"/>
    <w:rsid w:val="009B732E"/>
    <w:rsid w:val="009C095F"/>
    <w:rsid w:val="009C67B1"/>
    <w:rsid w:val="009E5DBB"/>
    <w:rsid w:val="009F1557"/>
    <w:rsid w:val="009F4320"/>
    <w:rsid w:val="00A01468"/>
    <w:rsid w:val="00A0381B"/>
    <w:rsid w:val="00A05DAA"/>
    <w:rsid w:val="00A140C5"/>
    <w:rsid w:val="00A157FF"/>
    <w:rsid w:val="00A1589D"/>
    <w:rsid w:val="00A179EA"/>
    <w:rsid w:val="00A211C7"/>
    <w:rsid w:val="00A21B5C"/>
    <w:rsid w:val="00A2385E"/>
    <w:rsid w:val="00A244B0"/>
    <w:rsid w:val="00A30679"/>
    <w:rsid w:val="00A329E4"/>
    <w:rsid w:val="00A4135E"/>
    <w:rsid w:val="00A46B0D"/>
    <w:rsid w:val="00A71BFA"/>
    <w:rsid w:val="00A7379B"/>
    <w:rsid w:val="00A737EA"/>
    <w:rsid w:val="00A7473E"/>
    <w:rsid w:val="00A7641E"/>
    <w:rsid w:val="00A8300E"/>
    <w:rsid w:val="00A8681E"/>
    <w:rsid w:val="00AC78A7"/>
    <w:rsid w:val="00AD262F"/>
    <w:rsid w:val="00AE4751"/>
    <w:rsid w:val="00AE578E"/>
    <w:rsid w:val="00B079CB"/>
    <w:rsid w:val="00B30153"/>
    <w:rsid w:val="00B30F23"/>
    <w:rsid w:val="00B311CA"/>
    <w:rsid w:val="00B3339D"/>
    <w:rsid w:val="00B349E9"/>
    <w:rsid w:val="00B36C3E"/>
    <w:rsid w:val="00B455E8"/>
    <w:rsid w:val="00B47D0F"/>
    <w:rsid w:val="00B508CB"/>
    <w:rsid w:val="00B52428"/>
    <w:rsid w:val="00B5283F"/>
    <w:rsid w:val="00B747AB"/>
    <w:rsid w:val="00B92DCF"/>
    <w:rsid w:val="00B94D27"/>
    <w:rsid w:val="00B94E72"/>
    <w:rsid w:val="00BA1964"/>
    <w:rsid w:val="00BA4C4F"/>
    <w:rsid w:val="00BB55C3"/>
    <w:rsid w:val="00BB5886"/>
    <w:rsid w:val="00BB5D73"/>
    <w:rsid w:val="00BC160F"/>
    <w:rsid w:val="00BC56ED"/>
    <w:rsid w:val="00BE3869"/>
    <w:rsid w:val="00BE39F5"/>
    <w:rsid w:val="00BE4553"/>
    <w:rsid w:val="00BF5495"/>
    <w:rsid w:val="00BF6261"/>
    <w:rsid w:val="00BF7B75"/>
    <w:rsid w:val="00C03EEC"/>
    <w:rsid w:val="00C06132"/>
    <w:rsid w:val="00C174B1"/>
    <w:rsid w:val="00C212F6"/>
    <w:rsid w:val="00C21AF5"/>
    <w:rsid w:val="00C23397"/>
    <w:rsid w:val="00C3523C"/>
    <w:rsid w:val="00C40914"/>
    <w:rsid w:val="00C45DDA"/>
    <w:rsid w:val="00C621A7"/>
    <w:rsid w:val="00C63F74"/>
    <w:rsid w:val="00C758F7"/>
    <w:rsid w:val="00C7681A"/>
    <w:rsid w:val="00C959EF"/>
    <w:rsid w:val="00C96019"/>
    <w:rsid w:val="00CB3B8A"/>
    <w:rsid w:val="00CB7214"/>
    <w:rsid w:val="00CC0968"/>
    <w:rsid w:val="00CC64FB"/>
    <w:rsid w:val="00CE1BC9"/>
    <w:rsid w:val="00CE3EEF"/>
    <w:rsid w:val="00CE429D"/>
    <w:rsid w:val="00CF6A8F"/>
    <w:rsid w:val="00D144E2"/>
    <w:rsid w:val="00D15A8F"/>
    <w:rsid w:val="00D1666A"/>
    <w:rsid w:val="00D225E0"/>
    <w:rsid w:val="00D24E05"/>
    <w:rsid w:val="00D26EE0"/>
    <w:rsid w:val="00D34DAF"/>
    <w:rsid w:val="00D417B8"/>
    <w:rsid w:val="00D54FD7"/>
    <w:rsid w:val="00D63474"/>
    <w:rsid w:val="00D747A0"/>
    <w:rsid w:val="00DA6082"/>
    <w:rsid w:val="00DC7858"/>
    <w:rsid w:val="00DF7AE7"/>
    <w:rsid w:val="00E00313"/>
    <w:rsid w:val="00E06724"/>
    <w:rsid w:val="00E07D12"/>
    <w:rsid w:val="00E20B5F"/>
    <w:rsid w:val="00E20E78"/>
    <w:rsid w:val="00E20F77"/>
    <w:rsid w:val="00E26C62"/>
    <w:rsid w:val="00E26C93"/>
    <w:rsid w:val="00E279EA"/>
    <w:rsid w:val="00E376AA"/>
    <w:rsid w:val="00E40041"/>
    <w:rsid w:val="00E418BF"/>
    <w:rsid w:val="00E4521B"/>
    <w:rsid w:val="00E4556E"/>
    <w:rsid w:val="00E524A5"/>
    <w:rsid w:val="00E537C9"/>
    <w:rsid w:val="00E54322"/>
    <w:rsid w:val="00E569A2"/>
    <w:rsid w:val="00E642B7"/>
    <w:rsid w:val="00E72EA7"/>
    <w:rsid w:val="00E739C5"/>
    <w:rsid w:val="00E73C8E"/>
    <w:rsid w:val="00E8084D"/>
    <w:rsid w:val="00E92B69"/>
    <w:rsid w:val="00EA42B0"/>
    <w:rsid w:val="00EB00AA"/>
    <w:rsid w:val="00EB118F"/>
    <w:rsid w:val="00EB2DCF"/>
    <w:rsid w:val="00EB38E7"/>
    <w:rsid w:val="00EB73EC"/>
    <w:rsid w:val="00EC37AC"/>
    <w:rsid w:val="00EC527D"/>
    <w:rsid w:val="00ED0889"/>
    <w:rsid w:val="00EE46E1"/>
    <w:rsid w:val="00EF1096"/>
    <w:rsid w:val="00EF6F31"/>
    <w:rsid w:val="00EF7094"/>
    <w:rsid w:val="00F14E75"/>
    <w:rsid w:val="00F15FBA"/>
    <w:rsid w:val="00F17CAB"/>
    <w:rsid w:val="00F205C8"/>
    <w:rsid w:val="00F3725B"/>
    <w:rsid w:val="00F4750F"/>
    <w:rsid w:val="00F53070"/>
    <w:rsid w:val="00F66240"/>
    <w:rsid w:val="00F72D6F"/>
    <w:rsid w:val="00FA113D"/>
    <w:rsid w:val="00FB2FA9"/>
    <w:rsid w:val="00FC0015"/>
    <w:rsid w:val="00FC0783"/>
    <w:rsid w:val="00FC1B7B"/>
    <w:rsid w:val="00FC3668"/>
    <w:rsid w:val="00FD34E2"/>
    <w:rsid w:val="00FD5D03"/>
    <w:rsid w:val="00FD6DC8"/>
    <w:rsid w:val="00FD7157"/>
    <w:rsid w:val="00FF3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470B0"/>
  <w15:docId w15:val="{FFB70A93-5450-4921-ADFE-86417CEE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E52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24C2"/>
    <w:pPr>
      <w:ind w:left="720"/>
      <w:contextualSpacing/>
    </w:pPr>
  </w:style>
  <w:style w:type="character" w:styleId="Hyperlink">
    <w:name w:val="Hyperlink"/>
    <w:basedOn w:val="DefaultParagraphFont"/>
    <w:uiPriority w:val="99"/>
    <w:unhideWhenUsed/>
    <w:rsid w:val="00797C59"/>
    <w:rPr>
      <w:color w:val="0000FF" w:themeColor="hyperlink"/>
      <w:u w:val="single"/>
    </w:rPr>
  </w:style>
  <w:style w:type="character" w:customStyle="1" w:styleId="ListParagraphChar">
    <w:name w:val="List Paragraph Char"/>
    <w:basedOn w:val="DefaultParagraphFont"/>
    <w:link w:val="ListParagraph"/>
    <w:uiPriority w:val="34"/>
    <w:rsid w:val="006A65A4"/>
    <w:rPr>
      <w:rFonts w:ascii="Arial" w:hAnsi="Arial"/>
      <w:sz w:val="24"/>
      <w:lang w:eastAsia="en-US"/>
    </w:rPr>
  </w:style>
  <w:style w:type="character" w:styleId="CommentReference">
    <w:name w:val="annotation reference"/>
    <w:basedOn w:val="DefaultParagraphFont"/>
    <w:uiPriority w:val="99"/>
    <w:semiHidden/>
    <w:unhideWhenUsed/>
    <w:rsid w:val="00660C7A"/>
    <w:rPr>
      <w:sz w:val="16"/>
      <w:szCs w:val="16"/>
    </w:rPr>
  </w:style>
  <w:style w:type="paragraph" w:styleId="CommentText">
    <w:name w:val="annotation text"/>
    <w:basedOn w:val="Normal"/>
    <w:link w:val="CommentTextChar"/>
    <w:uiPriority w:val="99"/>
    <w:semiHidden/>
    <w:unhideWhenUsed/>
    <w:rsid w:val="00660C7A"/>
    <w:rPr>
      <w:sz w:val="20"/>
    </w:rPr>
  </w:style>
  <w:style w:type="character" w:customStyle="1" w:styleId="CommentTextChar">
    <w:name w:val="Comment Text Char"/>
    <w:basedOn w:val="DefaultParagraphFont"/>
    <w:link w:val="CommentText"/>
    <w:uiPriority w:val="99"/>
    <w:semiHidden/>
    <w:rsid w:val="00660C7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60C7A"/>
    <w:rPr>
      <w:b/>
      <w:bCs/>
    </w:rPr>
  </w:style>
  <w:style w:type="character" w:customStyle="1" w:styleId="CommentSubjectChar">
    <w:name w:val="Comment Subject Char"/>
    <w:basedOn w:val="CommentTextChar"/>
    <w:link w:val="CommentSubject"/>
    <w:uiPriority w:val="99"/>
    <w:semiHidden/>
    <w:rsid w:val="00660C7A"/>
    <w:rPr>
      <w:rFonts w:ascii="Arial" w:hAnsi="Arial"/>
      <w:b/>
      <w:bCs/>
      <w:lang w:eastAsia="en-US"/>
    </w:rPr>
  </w:style>
  <w:style w:type="character" w:customStyle="1" w:styleId="normaltextrun1">
    <w:name w:val="normaltextrun1"/>
    <w:basedOn w:val="DefaultParagraphFont"/>
    <w:rsid w:val="0032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123627">
      <w:bodyDiv w:val="1"/>
      <w:marLeft w:val="0"/>
      <w:marRight w:val="0"/>
      <w:marTop w:val="0"/>
      <w:marBottom w:val="0"/>
      <w:divBdr>
        <w:top w:val="none" w:sz="0" w:space="0" w:color="auto"/>
        <w:left w:val="none" w:sz="0" w:space="0" w:color="auto"/>
        <w:bottom w:val="none" w:sz="0" w:space="0" w:color="auto"/>
        <w:right w:val="none" w:sz="0" w:space="0" w:color="auto"/>
      </w:divBdr>
    </w:div>
    <w:div w:id="1756170727">
      <w:bodyDiv w:val="1"/>
      <w:marLeft w:val="0"/>
      <w:marRight w:val="0"/>
      <w:marTop w:val="0"/>
      <w:marBottom w:val="0"/>
      <w:divBdr>
        <w:top w:val="none" w:sz="0" w:space="0" w:color="auto"/>
        <w:left w:val="none" w:sz="0" w:space="0" w:color="auto"/>
        <w:bottom w:val="none" w:sz="0" w:space="0" w:color="auto"/>
        <w:right w:val="none" w:sz="0" w:space="0" w:color="auto"/>
      </w:divBdr>
    </w:div>
    <w:div w:id="196727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C844-7EED-45C6-B387-E1BA70D4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12</Pages>
  <Words>5023</Words>
  <Characters>26343</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Report to:</vt:lpstr>
    </vt:vector>
  </TitlesOfParts>
  <Company>Sefton MBC</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dc:title>
  <dc:creator>Sefton MBC</dc:creator>
  <cp:lastModifiedBy>Ian Loughlin</cp:lastModifiedBy>
  <cp:revision>25</cp:revision>
  <cp:lastPrinted>2019-11-04T09:07:00Z</cp:lastPrinted>
  <dcterms:created xsi:type="dcterms:W3CDTF">2019-10-29T13:49:00Z</dcterms:created>
  <dcterms:modified xsi:type="dcterms:W3CDTF">2019-11-20T13:15:00Z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Cabinet Pre Agenda</vt:lpwstr>
  </property>
  <property fmtid="{D5CDD505-2E9C-101B-9397-08002B2CF9AE}" pid="3" name="IssueExemptionClassCode">
    <vt:lpwstr>Open</vt:lpwstr>
  </property>
  <property fmtid="{D5CDD505-2E9C-101B-9397-08002B2CF9AE}" pid="4" name="IssueExemptionClassTitle">
    <vt:lpwstr>Open</vt:lpwstr>
  </property>
  <property fmtid="{D5CDD505-2E9C-101B-9397-08002B2CF9AE}" pid="5" name="IssueExemptionExplanation">
    <vt:lpwstr/>
  </property>
  <property fmtid="{D5CDD505-2E9C-101B-9397-08002B2CF9AE}" pid="6" name="IssueIsExempt">
    <vt:lpwstr>N</vt:lpwstr>
  </property>
  <property fmtid="{D5CDD505-2E9C-101B-9397-08002B2CF9AE}" pid="7" name="IssueIsKey">
    <vt:lpwstr>Y</vt:lpwstr>
  </property>
  <property fmtid="{D5CDD505-2E9C-101B-9397-08002B2CF9AE}" pid="8" name="IssueTitle">
    <vt:lpwstr>Approval of Pro Forma for Sustainable Drainage Systems document, Guidance notes and SuDs and Flood Risk Information Notes</vt:lpwstr>
  </property>
  <property fmtid="{D5CDD505-2E9C-101B-9397-08002B2CF9AE}" pid="9" name="LeadDirector">
    <vt:lpwstr>Head of Locality Services - Commissioned</vt:lpwstr>
  </property>
  <property fmtid="{D5CDD505-2E9C-101B-9397-08002B2CF9AE}" pid="10" name="LeadMember">
    <vt:lpwstr>Cabinet Member - Locality Services</vt:lpwstr>
  </property>
  <property fmtid="{D5CDD505-2E9C-101B-9397-08002B2CF9AE}" pid="11" name="LeadOfficer">
    <vt:lpwstr>Paul Wisse</vt:lpwstr>
  </property>
  <property fmtid="{D5CDD505-2E9C-101B-9397-08002B2CF9AE}" pid="12" name="LeadOfficerEmail">
    <vt:lpwstr>paul.wisse@sefton.gov.uk</vt:lpwstr>
  </property>
  <property fmtid="{D5CDD505-2E9C-101B-9397-08002B2CF9AE}" pid="13" name="LeadOfficerPost">
    <vt:lpwstr/>
  </property>
  <property fmtid="{D5CDD505-2E9C-101B-9397-08002B2CF9AE}" pid="14" name="LeadOfficerTel">
    <vt:lpwstr>Tel: 0151 934 2959</vt:lpwstr>
  </property>
  <property fmtid="{D5CDD505-2E9C-101B-9397-08002B2CF9AE}" pid="15" name="MeetingDate">
    <vt:lpwstr>Thursday 12 July 2018</vt:lpwstr>
  </property>
  <property fmtid="{D5CDD505-2E9C-101B-9397-08002B2CF9AE}" pid="16" name="Wards">
    <vt:lpwstr>(All Wards);</vt:lpwstr>
  </property>
</Properties>
</file>